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56" w:type="dxa"/>
        <w:tblInd w:w="108" w:type="dxa"/>
        <w:tblLook w:val="01E0"/>
      </w:tblPr>
      <w:tblGrid>
        <w:gridCol w:w="3686"/>
        <w:gridCol w:w="5670"/>
      </w:tblGrid>
      <w:tr w:rsidR="00377A6A" w:rsidTr="00062C8F">
        <w:trPr>
          <w:trHeight w:val="1258"/>
        </w:trPr>
        <w:tc>
          <w:tcPr>
            <w:tcW w:w="3686" w:type="dxa"/>
          </w:tcPr>
          <w:p w:rsidR="00377A6A" w:rsidRDefault="00033627">
            <w:pPr>
              <w:jc w:val="center"/>
              <w:rPr>
                <w:sz w:val="26"/>
              </w:rPr>
            </w:pPr>
            <w:r>
              <w:rPr>
                <w:sz w:val="26"/>
              </w:rPr>
              <w:t>BỘ CÔNG AN</w:t>
            </w:r>
          </w:p>
          <w:p w:rsidR="00377A6A" w:rsidRDefault="00033627">
            <w:pPr>
              <w:jc w:val="center"/>
              <w:rPr>
                <w:b/>
                <w:sz w:val="26"/>
              </w:rPr>
            </w:pPr>
            <w:r>
              <w:rPr>
                <w:b/>
                <w:sz w:val="26"/>
              </w:rPr>
              <w:t>CÔNG AN TP HẢI PHÒNG</w:t>
            </w:r>
          </w:p>
          <w:p w:rsidR="00377A6A" w:rsidRDefault="00FA42F2">
            <w:pPr>
              <w:jc w:val="center"/>
              <w:rPr>
                <w:b/>
                <w:sz w:val="26"/>
              </w:rPr>
            </w:pPr>
            <w:r w:rsidRPr="00FA42F2">
              <w:rPr>
                <w:noProof/>
              </w:rPr>
              <w:pict>
                <v:line id="Straight Connector 2" o:spid="_x0000_s1026" style="position:absolute;left:0;text-align:left;z-index:251657216;visibility:visible" from="42.3pt,1.55pt" to="130.0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4/nGwIAADUEAAAOAAAAZHJzL2Uyb0RvYy54bWysU8GO2jAQvVfqP1i+QwgbK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"/>
              </w:pict>
            </w:r>
          </w:p>
          <w:p w:rsidR="003D58CB" w:rsidRPr="00D1516C" w:rsidRDefault="00E668B8" w:rsidP="00E52687">
            <w:pPr>
              <w:ind w:left="-142"/>
              <w:jc w:val="center"/>
              <w:rPr>
                <w:sz w:val="26"/>
                <w:szCs w:val="24"/>
              </w:rPr>
            </w:pPr>
            <w:r>
              <w:rPr>
                <w:sz w:val="26"/>
                <w:szCs w:val="24"/>
              </w:rPr>
              <w:t>Số:</w:t>
            </w:r>
            <w:r w:rsidR="00994808">
              <w:rPr>
                <w:sz w:val="26"/>
                <w:szCs w:val="24"/>
              </w:rPr>
              <w:t xml:space="preserve"> </w:t>
            </w:r>
            <w:r w:rsidR="00A32478">
              <w:rPr>
                <w:sz w:val="26"/>
                <w:szCs w:val="24"/>
              </w:rPr>
              <w:t xml:space="preserve">   </w:t>
            </w:r>
            <w:r w:rsidR="00062C8F">
              <w:rPr>
                <w:sz w:val="26"/>
                <w:szCs w:val="24"/>
              </w:rPr>
              <w:t xml:space="preserve"> </w:t>
            </w:r>
            <w:r w:rsidR="00187511">
              <w:rPr>
                <w:sz w:val="26"/>
                <w:szCs w:val="24"/>
              </w:rPr>
              <w:t xml:space="preserve">   </w:t>
            </w:r>
            <w:r w:rsidR="00A32478">
              <w:rPr>
                <w:sz w:val="26"/>
                <w:szCs w:val="24"/>
              </w:rPr>
              <w:t xml:space="preserve">  </w:t>
            </w:r>
            <w:r w:rsidR="00C70194" w:rsidRPr="00D1516C">
              <w:rPr>
                <w:sz w:val="26"/>
                <w:szCs w:val="24"/>
              </w:rPr>
              <w:t>/</w:t>
            </w:r>
            <w:r w:rsidR="008D55A4">
              <w:rPr>
                <w:sz w:val="26"/>
                <w:szCs w:val="24"/>
              </w:rPr>
              <w:t>TTr-</w:t>
            </w:r>
            <w:r w:rsidR="00033627">
              <w:rPr>
                <w:sz w:val="26"/>
                <w:szCs w:val="24"/>
              </w:rPr>
              <w:t>CAHP</w:t>
            </w:r>
            <w:r w:rsidR="00C70194" w:rsidRPr="00D1516C">
              <w:rPr>
                <w:sz w:val="26"/>
                <w:szCs w:val="24"/>
              </w:rPr>
              <w:t>-</w:t>
            </w:r>
            <w:r w:rsidR="00033627">
              <w:rPr>
                <w:sz w:val="26"/>
                <w:szCs w:val="24"/>
              </w:rPr>
              <w:t>PV01</w:t>
            </w:r>
          </w:p>
          <w:p w:rsidR="0052151B" w:rsidRPr="00C2064C" w:rsidRDefault="0052151B" w:rsidP="00D77F3B">
            <w:pPr>
              <w:jc w:val="center"/>
              <w:rPr>
                <w:spacing w:val="-4"/>
                <w:sz w:val="2"/>
                <w:szCs w:val="24"/>
              </w:rPr>
            </w:pPr>
          </w:p>
          <w:p w:rsidR="00377A6A" w:rsidRPr="00B87E3E" w:rsidRDefault="00EE3614" w:rsidP="00E3470B">
            <w:pPr>
              <w:tabs>
                <w:tab w:val="center" w:pos="1806"/>
                <w:tab w:val="left" w:pos="2805"/>
              </w:tabs>
              <w:ind w:left="-108" w:firstLine="108"/>
              <w:jc w:val="center"/>
              <w:rPr>
                <w:spacing w:val="-4"/>
                <w:sz w:val="24"/>
                <w:szCs w:val="24"/>
              </w:rPr>
            </w:pPr>
            <w:r>
              <w:rPr>
                <w:noProof/>
                <w:spacing w:val="-4"/>
                <w:sz w:val="24"/>
                <w:szCs w:val="24"/>
              </w:rPr>
              <w:pict>
                <v:rect id="_x0000_s1039" style="position:absolute;left:0;text-align:left;margin-left:46.8pt;margin-top:2.95pt;width:72.75pt;height:21.75pt;z-index:251672576">
                  <v:textbox>
                    <w:txbxContent>
                      <w:p w:rsidR="00EE3614" w:rsidRDefault="00EE3614" w:rsidP="00EE3614">
                        <w:pPr>
                          <w:jc w:val="center"/>
                        </w:pPr>
                        <w:r>
                          <w:t>Dự thảo</w:t>
                        </w:r>
                      </w:p>
                    </w:txbxContent>
                  </v:textbox>
                </v:rect>
              </w:pict>
            </w:r>
          </w:p>
        </w:tc>
        <w:tc>
          <w:tcPr>
            <w:tcW w:w="5670" w:type="dxa"/>
          </w:tcPr>
          <w:p w:rsidR="00377A6A" w:rsidRDefault="00377A6A">
            <w:pPr>
              <w:jc w:val="center"/>
              <w:rPr>
                <w:b/>
                <w:sz w:val="26"/>
              </w:rPr>
            </w:pPr>
            <w:r>
              <w:rPr>
                <w:b/>
                <w:sz w:val="26"/>
              </w:rPr>
              <w:t>CỘNG HÒA XÃ HỘI CHỦ NGHĨA VIỆT NAM</w:t>
            </w:r>
          </w:p>
          <w:p w:rsidR="00377A6A" w:rsidRPr="002A24F9" w:rsidRDefault="0052151B">
            <w:pPr>
              <w:jc w:val="center"/>
              <w:rPr>
                <w:b/>
              </w:rPr>
            </w:pPr>
            <w:r>
              <w:rPr>
                <w:b/>
              </w:rPr>
              <w:t>Độc lập - Tự do -</w:t>
            </w:r>
            <w:r w:rsidR="00377A6A" w:rsidRPr="002A24F9">
              <w:rPr>
                <w:b/>
              </w:rPr>
              <w:t xml:space="preserve"> Hạnh phúc</w:t>
            </w:r>
          </w:p>
          <w:p w:rsidR="00377A6A" w:rsidRDefault="00FA42F2">
            <w:pPr>
              <w:jc w:val="center"/>
            </w:pPr>
            <w:r>
              <w:rPr>
                <w:noProof/>
              </w:rPr>
              <w:pict>
                <v:line id="Straight Connector 1" o:spid="_x0000_s1027" style="position:absolute;left:0;text-align:left;z-index:251658240;visibility:visible" from="50.95pt,.4pt" to="223.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"/>
              </w:pict>
            </w:r>
          </w:p>
          <w:p w:rsidR="00377A6A" w:rsidRPr="00234310" w:rsidRDefault="00D77F3B" w:rsidP="00B56F8B">
            <w:pPr>
              <w:jc w:val="center"/>
              <w:rPr>
                <w:i/>
              </w:rPr>
            </w:pPr>
            <w:r w:rsidRPr="00234310">
              <w:rPr>
                <w:i/>
              </w:rPr>
              <w:t>Hải Phòng, ngày</w:t>
            </w:r>
            <w:r w:rsidR="00994808">
              <w:rPr>
                <w:i/>
              </w:rPr>
              <w:t xml:space="preserve"> </w:t>
            </w:r>
            <w:r w:rsidR="00187511">
              <w:rPr>
                <w:i/>
              </w:rPr>
              <w:t xml:space="preserve">   </w:t>
            </w:r>
            <w:r w:rsidR="00B4680F">
              <w:rPr>
                <w:i/>
              </w:rPr>
              <w:t xml:space="preserve"> </w:t>
            </w:r>
            <w:r w:rsidR="00062C8F">
              <w:rPr>
                <w:i/>
              </w:rPr>
              <w:t xml:space="preserve"> </w:t>
            </w:r>
            <w:r w:rsidR="00B4680F">
              <w:rPr>
                <w:i/>
              </w:rPr>
              <w:t xml:space="preserve"> </w:t>
            </w:r>
            <w:r w:rsidR="00011414">
              <w:rPr>
                <w:i/>
              </w:rPr>
              <w:t xml:space="preserve">tháng </w:t>
            </w:r>
            <w:r w:rsidR="00994409">
              <w:rPr>
                <w:i/>
              </w:rPr>
              <w:t>1</w:t>
            </w:r>
            <w:r w:rsidR="00B56F8B">
              <w:rPr>
                <w:i/>
              </w:rPr>
              <w:t>1</w:t>
            </w:r>
            <w:r w:rsidR="00E8195B">
              <w:rPr>
                <w:i/>
              </w:rPr>
              <w:t xml:space="preserve"> </w:t>
            </w:r>
            <w:r w:rsidR="00916771" w:rsidRPr="00234310">
              <w:rPr>
                <w:i/>
              </w:rPr>
              <w:t>năm 202</w:t>
            </w:r>
            <w:r w:rsidR="00B50EDE">
              <w:rPr>
                <w:i/>
              </w:rPr>
              <w:t>5</w:t>
            </w:r>
          </w:p>
        </w:tc>
      </w:tr>
    </w:tbl>
    <w:p w:rsidR="00257308" w:rsidRPr="00994409" w:rsidRDefault="00257308" w:rsidP="006E6FEB">
      <w:pPr>
        <w:spacing w:line="288" w:lineRule="auto"/>
        <w:jc w:val="center"/>
        <w:rPr>
          <w:sz w:val="2"/>
        </w:rPr>
      </w:pPr>
    </w:p>
    <w:p w:rsidR="00A32478" w:rsidRPr="00994409" w:rsidRDefault="00994409" w:rsidP="00994409">
      <w:pPr>
        <w:jc w:val="center"/>
        <w:rPr>
          <w:b/>
        </w:rPr>
      </w:pPr>
      <w:r w:rsidRPr="00994409">
        <w:rPr>
          <w:b/>
        </w:rPr>
        <w:t>TỜ TRÌNH</w:t>
      </w:r>
    </w:p>
    <w:p w:rsidR="00301DC4" w:rsidRDefault="00B56F8B" w:rsidP="00994409">
      <w:pPr>
        <w:jc w:val="center"/>
        <w:rPr>
          <w:b/>
        </w:rPr>
      </w:pPr>
      <w:r>
        <w:rPr>
          <w:b/>
        </w:rPr>
        <w:t xml:space="preserve">Quyết định ban hành </w:t>
      </w:r>
      <w:r w:rsidR="00301DC4">
        <w:rPr>
          <w:b/>
        </w:rPr>
        <w:t>q</w:t>
      </w:r>
      <w:r>
        <w:rPr>
          <w:b/>
        </w:rPr>
        <w:t xml:space="preserve">uy định về bảo vệ an ninh, trật tự, an toàn </w:t>
      </w:r>
    </w:p>
    <w:p w:rsidR="00B56F8B" w:rsidRDefault="00B56F8B" w:rsidP="00994409">
      <w:pPr>
        <w:jc w:val="center"/>
        <w:rPr>
          <w:b/>
        </w:rPr>
      </w:pPr>
      <w:r>
        <w:rPr>
          <w:b/>
        </w:rPr>
        <w:t xml:space="preserve">tại trụ sở tiếp công dân của các cơ quan Đảng, Nhà nước </w:t>
      </w:r>
    </w:p>
    <w:p w:rsidR="00994409" w:rsidRDefault="00B56F8B" w:rsidP="00994409">
      <w:pPr>
        <w:jc w:val="center"/>
        <w:rPr>
          <w:b/>
        </w:rPr>
      </w:pPr>
      <w:r>
        <w:rPr>
          <w:b/>
        </w:rPr>
        <w:t>trên địa bàn thành phố Hải Phòng</w:t>
      </w:r>
    </w:p>
    <w:p w:rsidR="00994409" w:rsidRPr="00994409" w:rsidRDefault="00FA42F2" w:rsidP="00994409">
      <w:pPr>
        <w:jc w:val="center"/>
        <w:rPr>
          <w:b/>
        </w:rPr>
      </w:pPr>
      <w:r>
        <w:rPr>
          <w:b/>
          <w:noProof/>
        </w:rPr>
        <w:pict>
          <v:shapetype id="_x0000_t32" coordsize="21600,21600" o:spt="32" o:oned="t" path="m,l21600,21600e" filled="f">
            <v:path arrowok="t" fillok="f" o:connecttype="none"/>
            <o:lock v:ext="edit" shapetype="t"/>
          </v:shapetype>
          <v:shape id="_x0000_s1035" type="#_x0000_t32" style="position:absolute;left:0;text-align:left;margin-left:178.2pt;margin-top:3pt;width:105pt;height:0;z-index:251667456" o:connectortype="straight"/>
        </w:pict>
      </w:r>
    </w:p>
    <w:p w:rsidR="00496DD0" w:rsidRPr="00A364C8" w:rsidRDefault="00386606" w:rsidP="006E6FEB">
      <w:pPr>
        <w:spacing w:line="288" w:lineRule="auto"/>
        <w:jc w:val="center"/>
        <w:rPr>
          <w:sz w:val="8"/>
        </w:rPr>
      </w:pPr>
      <w:r>
        <w:t xml:space="preserve"> </w:t>
      </w:r>
    </w:p>
    <w:p w:rsidR="00257308" w:rsidRDefault="00994409" w:rsidP="006E6FEB">
      <w:pPr>
        <w:spacing w:line="288" w:lineRule="auto"/>
        <w:jc w:val="center"/>
      </w:pPr>
      <w:r>
        <w:t>Kính gửi: Ủy ban nhân dân thành phố.</w:t>
      </w:r>
    </w:p>
    <w:p w:rsidR="00B56F8B" w:rsidRPr="00A364C8" w:rsidRDefault="00B56F8B" w:rsidP="006E6FEB">
      <w:pPr>
        <w:spacing w:line="288" w:lineRule="auto"/>
        <w:jc w:val="center"/>
        <w:rPr>
          <w:sz w:val="20"/>
        </w:rPr>
      </w:pPr>
    </w:p>
    <w:p w:rsidR="00A364C8" w:rsidRDefault="00B56F8B" w:rsidP="00A364C8">
      <w:pPr>
        <w:spacing w:line="276" w:lineRule="auto"/>
        <w:ind w:firstLine="720"/>
        <w:jc w:val="both"/>
      </w:pPr>
      <w:r>
        <w:t xml:space="preserve">Thực hiện quy định của Luật Ban hành văn bản quy phạm pháp luật số 64/2025/QH15 được sửa đổi, bổ sung bởi Luật số 87/2025/QH15; </w:t>
      </w:r>
      <w:r w:rsidR="00994409">
        <w:t xml:space="preserve">Luật Tổ chức chính quyền địa phương ngày 16 tháng </w:t>
      </w:r>
      <w:r w:rsidR="00F23087">
        <w:t>6 năm 2025;</w:t>
      </w:r>
      <w:r>
        <w:t xml:space="preserve"> </w:t>
      </w:r>
      <w:r w:rsidR="004E245E">
        <w:t xml:space="preserve"> </w:t>
      </w:r>
      <w:r w:rsidR="004F7D5F">
        <w:t>Luật Tiếp công dân ngày 25 tháng 11 năm 2013;</w:t>
      </w:r>
      <w:r>
        <w:t xml:space="preserve"> </w:t>
      </w:r>
      <w:r w:rsidR="004F7D5F">
        <w:t>Luật Khiếu nại ngày 11 tháng 11 năm 2011;</w:t>
      </w:r>
      <w:r>
        <w:t xml:space="preserve"> </w:t>
      </w:r>
      <w:r w:rsidR="004F7D5F">
        <w:t>Luật Tố cáo ngày 12 tháng 6 năm 2018;</w:t>
      </w:r>
      <w:r>
        <w:t xml:space="preserve"> Nghị định số 64/2014/NĐ-CP ngày 26 tháng 6 năm 2014 của Chính phủ quy định chi tiết một số điều của Luật Tiếp công dân; Nghị định số 38/2005/NĐ-CP ngày 18 tháng 3 năm 2005 của Chính phủ quy định một số biện pháp bảo đảm trật tự công cộng; </w:t>
      </w:r>
      <w:r w:rsidR="00A364C8" w:rsidRPr="00A364C8">
        <w:rPr>
          <w:bCs/>
          <w:color w:val="000000"/>
        </w:rPr>
        <w:t>Nghị định số 09/2019/NĐ-CP ngày ngày 24 tháng 01 năm 2019 của Chính phủ quy định về chế độ báo cáo của cơ quan hành chính nhà nước</w:t>
      </w:r>
      <w:r w:rsidR="00A364C8" w:rsidRPr="00A364C8">
        <w:t>;</w:t>
      </w:r>
      <w:r w:rsidR="00A364C8">
        <w:t xml:space="preserve"> </w:t>
      </w:r>
      <w:r w:rsidR="007D4CFA">
        <w:t xml:space="preserve">Thông tư số 09/2005/TT-BCA ngày 05 tháng 9 năm 2005 của Bộ Công an hướng dẫn thi hành một số điều của Nghị định số 38/2005/NĐ-CP ngày 18 tháng 3 năm 2005 của Chính phủ quy định một số biện pháp bảo đảm trật tự công cộng; </w:t>
      </w:r>
      <w:r>
        <w:t>Thông tư số 09/2025/TT-BCA ngày 25 tháng 02 năm 2025 của Bộ Công an quy định chức năng, nhiệm vụ, quyền hạn và tổ chức bộ máy của Công an tỉnh, thành phố trực thuộc trung ương; Thông tư số 10/2025/TT-BCA ngày 25 tháng 02 năm 2025 của Bộ Công an quy định chức năng, nhiệm vụ, quyền hạn và tổ chức bộ máy của Công an xã, phường, thị trấn</w:t>
      </w:r>
      <w:r w:rsidR="000A782B">
        <w:t xml:space="preserve">; </w:t>
      </w:r>
      <w:r w:rsidR="00B27117" w:rsidRPr="00A364C8">
        <w:rPr>
          <w:spacing w:val="-6"/>
        </w:rPr>
        <w:t>Thông tư số</w:t>
      </w:r>
      <w:r w:rsidR="00B27117">
        <w:rPr>
          <w:spacing w:val="-6"/>
        </w:rPr>
        <w:t xml:space="preserve"> </w:t>
      </w:r>
      <w:r w:rsidR="00B27117" w:rsidRPr="00A364C8">
        <w:rPr>
          <w:spacing w:val="-6"/>
        </w:rPr>
        <w:t>02/2025/TT-TTCP ngày 25 tháng 6 năm 2025 của Thanh tra Chính phủ hướng dẫn thực hiện một số quy định thuộc lĩnh vực quản lý nhà nước của Thanh tra Chính phủ liên quan đến Chính quyền địa phương 02 cấp</w:t>
      </w:r>
      <w:r w:rsidR="00B27117">
        <w:rPr>
          <w:spacing w:val="-6"/>
        </w:rPr>
        <w:t xml:space="preserve">; </w:t>
      </w:r>
      <w:r w:rsidR="00A364C8" w:rsidRPr="00A364C8">
        <w:t xml:space="preserve">Thông tư số 01/2024/TT-TTCP ngày </w:t>
      </w:r>
      <w:r w:rsidR="00A364C8">
        <w:t>20 tháng 01 năm 2024</w:t>
      </w:r>
      <w:r w:rsidR="00A364C8" w:rsidRPr="00A364C8">
        <w:t xml:space="preserve"> của Thanh tra Chính phủ quy định chế độ báo cáo công tác thanh tra, tiếp công dân, giải quyết khiếu nại, tố cáo và phòng chống tham nhũng, tiêu cực;</w:t>
      </w:r>
      <w:r w:rsidR="00A364C8">
        <w:rPr>
          <w:i/>
        </w:rPr>
        <w:t xml:space="preserve"> </w:t>
      </w:r>
      <w:r w:rsidR="000A782B">
        <w:t xml:space="preserve">Thông tư số 04/2021/TT-TTCP ngày </w:t>
      </w:r>
      <w:r w:rsidR="00A364C8">
        <w:t>01 tháng 10 năm 2021</w:t>
      </w:r>
      <w:r w:rsidR="000A782B">
        <w:t xml:space="preserve"> của Thanh tra Chính phủ quy định quy trình tiếp công dân</w:t>
      </w:r>
      <w:r>
        <w:t xml:space="preserve">, Công an hành phố kính trình Ủy ban nhân dân thành phố dự thảo Quyết định ban hành Quy định về bảo </w:t>
      </w:r>
      <w:r w:rsidR="00AC5C76">
        <w:t>vệ</w:t>
      </w:r>
      <w:r>
        <w:t xml:space="preserve"> an ninh, trật tự, an toàn trụ sở tiếp công dân của các cơ quan Đảng, Nhà nước trên địa bàn thành phố Hải Phòng như sau: </w:t>
      </w:r>
    </w:p>
    <w:p w:rsidR="00A364C8" w:rsidRDefault="00A364C8" w:rsidP="00A364C8">
      <w:pPr>
        <w:spacing w:line="276" w:lineRule="auto"/>
        <w:ind w:firstLine="720"/>
        <w:jc w:val="both"/>
      </w:pPr>
    </w:p>
    <w:p w:rsidR="00B56F8B" w:rsidRPr="00501AAF" w:rsidRDefault="00B56F8B" w:rsidP="00A364C8">
      <w:pPr>
        <w:spacing w:line="276" w:lineRule="auto"/>
        <w:ind w:firstLine="720"/>
        <w:jc w:val="both"/>
        <w:rPr>
          <w:b/>
        </w:rPr>
      </w:pPr>
      <w:r w:rsidRPr="00501AAF">
        <w:rPr>
          <w:b/>
        </w:rPr>
        <w:lastRenderedPageBreak/>
        <w:t>I. SỰ CẦN THIẾT BAN HÀNH VĂN BẢN</w:t>
      </w:r>
    </w:p>
    <w:p w:rsidR="00B56F8B" w:rsidRPr="00501AAF" w:rsidRDefault="00B56F8B" w:rsidP="00A364C8">
      <w:pPr>
        <w:spacing w:line="276" w:lineRule="auto"/>
        <w:ind w:firstLine="720"/>
        <w:jc w:val="both"/>
        <w:rPr>
          <w:b/>
        </w:rPr>
      </w:pPr>
      <w:r w:rsidRPr="00501AAF">
        <w:rPr>
          <w:b/>
        </w:rPr>
        <w:t>1. Cơ sở chính trị</w:t>
      </w:r>
    </w:p>
    <w:p w:rsidR="00CD7A43" w:rsidRDefault="00B56F8B" w:rsidP="00A364C8">
      <w:pPr>
        <w:spacing w:line="259" w:lineRule="auto"/>
        <w:ind w:firstLine="720"/>
        <w:jc w:val="both"/>
      </w:pPr>
      <w:r>
        <w:t xml:space="preserve">Nghị quyết số 27-NQ/TW ngày 09/11/2022 của Hội nghị lần thứ sáu Ban Chấp hành Trung ương Đảng khóa XIII về tiếp tục xây dựng và hoàn thiện Nhà nước pháp quyền xã hội chủ nghĩa Việt Nam trong giai đoạn mới đặt ra nhiệm vụ </w:t>
      </w:r>
      <w:r w:rsidRPr="00501AAF">
        <w:rPr>
          <w:i/>
        </w:rPr>
        <w:t>“tiếp tục hoàn thiện hệ thống pháp luật và cơ chế tổ chức thực hiện pháp luật nghiêm minh, hiệu quả, bảo đảm yêu cầu phát triển đất nước nhanh và bền vững”</w:t>
      </w:r>
      <w:r>
        <w:t>.</w:t>
      </w:r>
      <w:r w:rsidR="00AD2BB9">
        <w:t xml:space="preserve"> </w:t>
      </w:r>
      <w:r w:rsidR="00CD7A43">
        <w:t xml:space="preserve">Thực hiện Kết luận số 119-KL/TW ngày 20/01/2025 của Bộ Chính trị về định hướng đổi mới, hoàn thiện quy trình xây dựng pháp luật: </w:t>
      </w:r>
      <w:r w:rsidR="00CD7A43" w:rsidRPr="00501AAF">
        <w:rPr>
          <w:i/>
        </w:rPr>
        <w:t>Mục tiêu hàng đầu của công tác xây dựng pháp luật trong thời gian tới là tạo lập hệ thống pháp luật hoàn thiện, bảo đảm nền tảng pháp lý vững chắc, tạo động lực mạnh mẽ, bứt phá cho phát triển, góp phần hoàn thiện thắng lợi các mục tiêu chiến lược mà Nghị quyết Đại hội Đảng lần thứ XIII đề ra đưa đất nước vững bước tiến vào “kỷ nguyên mới – kỷ nguyên vươn mình của dân tộc”</w:t>
      </w:r>
      <w:r w:rsidR="00CD7A43">
        <w:t>.</w:t>
      </w:r>
    </w:p>
    <w:p w:rsidR="00B56F8B" w:rsidRDefault="00AD2BB9" w:rsidP="00A364C8">
      <w:pPr>
        <w:spacing w:line="259" w:lineRule="auto"/>
        <w:ind w:firstLine="720"/>
        <w:jc w:val="both"/>
      </w:pPr>
      <w:r>
        <w:t xml:space="preserve">Đồng thời, để tiếp tục đổi mới, sắp xếp tổ chức bộ máy của hệ thống chính trị tinh gọn, hoạt động hiệu lực, hiệu quả, ngày 24/01/2025, Ban Chấp hành Trung ương Đảng khóa XIII đã có Kết luận số 121-KL/TW về tổng kết Nghị quyết số 18-NQ/TW ngày 25/10/2017 của Ban Chấp hành Trung ương Đảng khóa XII, trong đó đề ra nhiệm vụ, giải pháp như sau </w:t>
      </w:r>
      <w:r w:rsidRPr="00501AAF">
        <w:rPr>
          <w:i/>
        </w:rPr>
        <w:t>“Rà soát, sửa đổi, bổ sung các văn bản còn chồng chéo, bất cập, cản trở sự phát triển, khơi thông các điểm nghẽn, tạo ra động lực mới cho phát triển”</w:t>
      </w:r>
      <w:r>
        <w:t>.</w:t>
      </w:r>
    </w:p>
    <w:p w:rsidR="00501AAF" w:rsidRDefault="00501AAF" w:rsidP="00A364C8">
      <w:pPr>
        <w:spacing w:line="259" w:lineRule="auto"/>
        <w:ind w:firstLine="720"/>
        <w:jc w:val="both"/>
      </w:pPr>
      <w:r>
        <w:t xml:space="preserve">- Theo khoản 7 Điều 1 Nghị quyết số 202/2025/QH15 ngày 12/6/2025 của Quốc hội về việc sắp xếp đơn vị hành chính cấp tỉnh </w:t>
      </w:r>
      <w:r w:rsidRPr="00501AAF">
        <w:rPr>
          <w:i/>
        </w:rPr>
        <w:t xml:space="preserve">“Sắp xếp toàn bộ diện tích tự nhiên, quy mô dân số của thành phố Hải Phòng và tỉnh Hải Dương thành thành phố mới có tên gọi là thành phố Hải Phòng” </w:t>
      </w:r>
      <w:r>
        <w:t xml:space="preserve">dẫn tới diện tích, quy mô dân số có sự thay đổi, </w:t>
      </w:r>
      <w:r w:rsidR="00B76C1E">
        <w:t>đặt ra</w:t>
      </w:r>
      <w:r>
        <w:t xml:space="preserve"> những yêu cầu, đòi hỏi mới trong công tác bảo đảm an ninh, trật tự, an toàn trên địa bàn thành phố</w:t>
      </w:r>
      <w:r w:rsidR="00B76C1E">
        <w:t xml:space="preserve">, đặc biệt là đảm bảo an ninh, trật tự, an toàn tại trụ sở tiếp công dân, tránh việc lợi dụng quyền khiếu nại, tố cáo, kiến nghị, phản ánh của người dân, tổ chức để tụ tập đông người, gây rối trật tự công cộng. Do đó, cần xây dựng, hoàn thiện các quy định của pháp luật quy về bảo </w:t>
      </w:r>
      <w:r w:rsidR="00AC5C76">
        <w:t>vệ</w:t>
      </w:r>
      <w:r w:rsidR="00B76C1E">
        <w:t xml:space="preserve"> an ninh, trật tự, an toàn trụ sở tiếp công dân của các cơ quan Đảng, Nhà nước trên địa bàn thành phố Hải Phòng, góp phần nâng cao hiệu lực, hiệu quả quản lý nhà nước trong tình hình mới, bảo đảm phù hợp với xu thế phát triển chung của thành phố.</w:t>
      </w:r>
    </w:p>
    <w:p w:rsidR="00B56F8B" w:rsidRPr="00277955" w:rsidRDefault="00B76C1E" w:rsidP="00A364C8">
      <w:pPr>
        <w:spacing w:line="259" w:lineRule="auto"/>
        <w:ind w:firstLine="720"/>
        <w:jc w:val="both"/>
        <w:rPr>
          <w:b/>
        </w:rPr>
      </w:pPr>
      <w:r w:rsidRPr="00277955">
        <w:rPr>
          <w:b/>
        </w:rPr>
        <w:t>2. Cơ sở pháp lý</w:t>
      </w:r>
    </w:p>
    <w:p w:rsidR="00DE2FFD" w:rsidRDefault="00DE2FFD" w:rsidP="00A364C8">
      <w:pPr>
        <w:spacing w:line="259" w:lineRule="auto"/>
        <w:ind w:firstLine="720"/>
        <w:jc w:val="both"/>
      </w:pPr>
      <w:r>
        <w:t xml:space="preserve">- </w:t>
      </w:r>
      <w:r w:rsidR="00E60A93">
        <w:t xml:space="preserve">Thực hiện Nghị định số 02/2025/NĐ-CP ngày 28/02/2025 của Chính phủ quy định về chức năng, nhiệm vụ, quyền hạn và cơ cấu tổ chức của Bộ Công an, theo đó, </w:t>
      </w:r>
      <w:r w:rsidR="00063BE3">
        <w:t>t</w:t>
      </w:r>
      <w:r w:rsidR="00E60A93">
        <w:t>ừ ngày 01/3/2025, bộ máy Công an thành phố được sắp xếp, tinh gọn từ 3 cấp thành 2 cấp (Công an cấp tỉnh và Công an cấp xã), không tổ chức Công an cấp huyện</w:t>
      </w:r>
      <w:r w:rsidR="00882297">
        <w:t xml:space="preserve">. </w:t>
      </w:r>
      <w:r w:rsidR="00D100AF">
        <w:t>Đ</w:t>
      </w:r>
      <w:r w:rsidR="00882297">
        <w:t xml:space="preserve">ể đáp ứng yêu cầu thực tiễn tổ chức bộ máy Công an 02 cấp, Bộ trưởng Bộ Công an đã ban hành các Thông tư quy định cụ thể </w:t>
      </w:r>
      <w:r w:rsidR="002E108D">
        <w:t xml:space="preserve">chức </w:t>
      </w:r>
      <w:r w:rsidR="002E108D">
        <w:lastRenderedPageBreak/>
        <w:t>năng, nhiệm vụ</w:t>
      </w:r>
      <w:r w:rsidR="008D55A4">
        <w:t>, cơ cấu tổ chức</w:t>
      </w:r>
      <w:r w:rsidR="002E108D">
        <w:t xml:space="preserve"> </w:t>
      </w:r>
      <w:r w:rsidR="008D55A4">
        <w:t xml:space="preserve">của Công an cấp tỉnh, cấp xã; </w:t>
      </w:r>
      <w:r w:rsidR="00D100AF">
        <w:t xml:space="preserve">các văn bản quy phạm pháp luật của Trung ương và địa phương quy định </w:t>
      </w:r>
      <w:r w:rsidR="00882297">
        <w:t xml:space="preserve">chức năng, nhiệm vụ, cơ cấu tổ chức của </w:t>
      </w:r>
      <w:r w:rsidR="004C6302">
        <w:t>Công an cấp huyện</w:t>
      </w:r>
      <w:r w:rsidR="002E108D">
        <w:t xml:space="preserve"> không còn hiệu lực pháp lý</w:t>
      </w:r>
      <w:r w:rsidR="00E60A93">
        <w:t>.</w:t>
      </w:r>
      <w:r w:rsidR="006C6F16">
        <w:t xml:space="preserve"> </w:t>
      </w:r>
    </w:p>
    <w:p w:rsidR="00C013FE" w:rsidRDefault="00DE2FFD" w:rsidP="00A364C8">
      <w:pPr>
        <w:spacing w:line="259" w:lineRule="auto"/>
        <w:ind w:firstLine="720"/>
        <w:jc w:val="both"/>
      </w:pPr>
      <w:r>
        <w:t xml:space="preserve">- </w:t>
      </w:r>
      <w:r w:rsidR="006C6F16">
        <w:t>Từ ngày 01/7/2025, thực hiện Nghị quyết sửa đổi, bổ sung một số điều của Hiến pháp năm 2013 và Luật Tổ chức chính quyền địa phương</w:t>
      </w:r>
      <w:r w:rsidR="00D100AF">
        <w:t xml:space="preserve"> </w:t>
      </w:r>
      <w:r w:rsidR="004C6302">
        <w:t xml:space="preserve">ngày 16/6/2025 thì </w:t>
      </w:r>
      <w:r w:rsidR="004C6302" w:rsidRPr="004C6302">
        <w:rPr>
          <w:i/>
        </w:rPr>
        <w:t>“Đơn vị hành chính của nước Cộng hòa xã hội chủ nghĩa Việt Nam được tổ chức thành 02 cấp gồm có: a) Tỉnh, thành phố trực thuộc trung ương; b) Xã, phường, đặc khu trực thuộc tỉnh</w:t>
      </w:r>
      <w:r w:rsidR="004C6302">
        <w:t>”</w:t>
      </w:r>
      <w:r w:rsidR="006C6F16">
        <w:t>.</w:t>
      </w:r>
      <w:r w:rsidR="002E108D">
        <w:t xml:space="preserve"> </w:t>
      </w:r>
      <w:r w:rsidR="004C6302">
        <w:t xml:space="preserve">Theo quy định tại khoản 115, Điều 1 </w:t>
      </w:r>
      <w:r w:rsidR="000C435B">
        <w:t>Nghị quyết số 1669/NQ-UBTVQH15 ngày 16/6/2025 của Ủy ban thường vụ Quốc hội</w:t>
      </w:r>
      <w:r w:rsidR="004C6302">
        <w:t xml:space="preserve"> về việc sắp xếp đơn vị hành chính cấp xã của thành phố Hải Phòng năm 2025 thì</w:t>
      </w:r>
      <w:r w:rsidR="000C435B">
        <w:t xml:space="preserve"> sau khi sắp xếp, thành phố Hải Phòng có 1</w:t>
      </w:r>
      <w:r w:rsidR="006321A2">
        <w:t>1</w:t>
      </w:r>
      <w:r w:rsidR="000C435B">
        <w:t xml:space="preserve">4 đơn vị hành chính cấp xã (gồm </w:t>
      </w:r>
      <w:r w:rsidR="00946C04">
        <w:t>67 xã, 45 phường và 02 đặc khu), tương đương, có 114 Công an cấp xã (</w:t>
      </w:r>
      <w:r w:rsidR="002E108D">
        <w:t>Ngày 22/6/2025 Bộ trưởng Bộ Công an ban hành Quyết định số 5135/QĐ-BCA về việc sáp nhập Công an tỉnh Hải Dương và các tổ chức trực thuộc vào Công an thành phố Hải Phòng</w:t>
      </w:r>
      <w:r w:rsidR="00AB517F">
        <w:t>; Quyết định số 5174/QĐ-BCA ngày 22/6/2025 của Bộ trưởng Bộ Công an về việc thành lập Công an cấp xã của thành phố Hải Phòng</w:t>
      </w:r>
      <w:r w:rsidR="00946C04">
        <w:t xml:space="preserve">). </w:t>
      </w:r>
      <w:r w:rsidR="00946C04" w:rsidRPr="0062204C">
        <w:t>Từ thực tiễn tổ chức, sắp xếp bộ máy trên đã trực tiếp</w:t>
      </w:r>
      <w:r w:rsidR="0062204C" w:rsidRPr="0062204C">
        <w:t xml:space="preserve"> thay đổi</w:t>
      </w:r>
      <w:r w:rsidR="00946C04" w:rsidRPr="0062204C">
        <w:t xml:space="preserve"> </w:t>
      </w:r>
      <w:r w:rsidR="00063BE3" w:rsidRPr="0062204C">
        <w:t xml:space="preserve">cơ cấu tổ chức, tên gọi, số lượng các trụ sở tiếp </w:t>
      </w:r>
      <w:r w:rsidR="0062204C" w:rsidRPr="0062204C">
        <w:t>công dân trên địa bàn thành phố Hải Phòng và trách nhiệm của lực lượng Công an các cấp trong công tác bảo vệ ANTT tại tr</w:t>
      </w:r>
      <w:r w:rsidR="00946C04" w:rsidRPr="0062204C">
        <w:t>ụ sở tiếp công dân các cơ quan Đảng, Nhà nước trên địa bàn thành phố Hải Phòng (mới).</w:t>
      </w:r>
    </w:p>
    <w:p w:rsidR="00AB517F" w:rsidRDefault="00277955" w:rsidP="00A364C8">
      <w:pPr>
        <w:spacing w:line="259" w:lineRule="auto"/>
        <w:ind w:firstLine="720"/>
        <w:jc w:val="both"/>
      </w:pPr>
      <w:r>
        <w:t xml:space="preserve">- </w:t>
      </w:r>
      <w:r w:rsidR="009409A8">
        <w:t>Bên cạnh đó, chức năng, nhiệm vụ, quyền hạn và tổ chức tổ chức bộ máy của Công an tỉnh, thành phố trực thuộc Trung ương đã quy định</w:t>
      </w:r>
      <w:r w:rsidR="00AB517F" w:rsidRPr="009409A8">
        <w:rPr>
          <w:i/>
        </w:rPr>
        <w:t>“Trình Hội đồng nhân dân, Ủy ban nhân dân ở địa phương ban hành theo thẩm quyền các văn bản quy phạm pháp luật về lĩnh vực bảo vệ an ninh, trật tự theo phân công”</w:t>
      </w:r>
      <w:r w:rsidR="009D4670">
        <w:t xml:space="preserve">; </w:t>
      </w:r>
      <w:r w:rsidR="009409A8" w:rsidRPr="009409A8">
        <w:rPr>
          <w:i/>
        </w:rPr>
        <w:t>“…bảo vệ các mục tiêu quan trọng về chính trị, kinh tế, ngoại giao, khoa học – kỹ thuật, văn hóa, xã hội…</w:t>
      </w:r>
      <w:r w:rsidR="009409A8">
        <w:t>” (Theo quy định tại khoản 2, khoản 4 Điều 2 Thông tư số 09/2025/TT-BCA ngày 25/02/2025 của Bộ Công an quy định chức năng, nhiệm vụ, quyền hạn và tổ chức bộ máy của Công an tỉnh, thành phố trực thuộc Trung ương).</w:t>
      </w:r>
    </w:p>
    <w:p w:rsidR="00EA4921" w:rsidRPr="0062204C" w:rsidRDefault="00277955" w:rsidP="00A364C8">
      <w:pPr>
        <w:spacing w:line="259" w:lineRule="auto"/>
        <w:ind w:firstLine="720"/>
        <w:jc w:val="both"/>
        <w:rPr>
          <w:spacing w:val="-4"/>
        </w:rPr>
      </w:pPr>
      <w:r>
        <w:rPr>
          <w:spacing w:val="-4"/>
        </w:rPr>
        <w:t xml:space="preserve">- </w:t>
      </w:r>
      <w:r w:rsidR="00E03568" w:rsidRPr="0062204C">
        <w:rPr>
          <w:spacing w:val="-4"/>
        </w:rPr>
        <w:t xml:space="preserve">Theo khoản 2 Điều 21 Luật Ban hành văn bản quy phạm pháp luật năm 2025 (được sửa đổi, bổ sung ngày 25/6/2025) </w:t>
      </w:r>
      <w:r w:rsidR="00E03568" w:rsidRPr="0062204C">
        <w:rPr>
          <w:i/>
          <w:spacing w:val="-4"/>
        </w:rPr>
        <w:t>“Ủy ban nhân dân cấp tỉnh ban hành Quyết định để quy định: …c) Biện pháp thực hiện chức năng quản lý nhà nước ở địa phương; phân cấp và thực hiện nhiệm vụ, quyền hạn được phân cấp”</w:t>
      </w:r>
      <w:r w:rsidR="00E03568" w:rsidRPr="0062204C">
        <w:rPr>
          <w:spacing w:val="-4"/>
        </w:rPr>
        <w:t>.</w:t>
      </w:r>
    </w:p>
    <w:p w:rsidR="00E03568" w:rsidRDefault="00277955" w:rsidP="00A364C8">
      <w:pPr>
        <w:spacing w:line="259" w:lineRule="auto"/>
        <w:ind w:firstLine="720"/>
        <w:jc w:val="both"/>
      </w:pPr>
      <w:r>
        <w:t xml:space="preserve">- </w:t>
      </w:r>
      <w:r w:rsidR="00E03568">
        <w:t xml:space="preserve">Theo quy định tại khoản 1 Điều 8 Luật Ban hành văn bản quy phạm pháp luật năm 2025 (sửa đổi, bổ sung ngày 25/62025) </w:t>
      </w:r>
      <w:r w:rsidR="00E03568" w:rsidRPr="0062204C">
        <w:rPr>
          <w:i/>
        </w:rPr>
        <w:t>“Văn bản quy phạm pháp luật chỉ được sửa đổi, bổ sung, thay thế bằng văn bản quy phạm pháp luật của chính cơ quan, người có thẩm quyền đã ban hành văn bản đó…”</w:t>
      </w:r>
      <w:r w:rsidR="00E03568">
        <w:t>.</w:t>
      </w:r>
    </w:p>
    <w:p w:rsidR="00E03568" w:rsidRDefault="00277955" w:rsidP="00A364C8">
      <w:pPr>
        <w:spacing w:line="259" w:lineRule="auto"/>
        <w:ind w:firstLine="720"/>
        <w:jc w:val="both"/>
      </w:pPr>
      <w:r>
        <w:t xml:space="preserve">- </w:t>
      </w:r>
      <w:r w:rsidR="00E03568">
        <w:t xml:space="preserve">Theo quy định tại khoản 2, Điều 54 Luật Ban hành văn bản quy phạm pháp luật (được sửa đổi, bổ sung ngày 25/6/2025): </w:t>
      </w:r>
      <w:r w:rsidR="00E03568" w:rsidRPr="0062204C">
        <w:rPr>
          <w:i/>
        </w:rPr>
        <w:t xml:space="preserve">“Văn bản quy phạm pháp luật của Hội đồng nhân dân, Ủy ban nhân dân ở đơn vị hành chính nào thì có </w:t>
      </w:r>
      <w:r w:rsidR="00E03568" w:rsidRPr="0062204C">
        <w:rPr>
          <w:i/>
        </w:rPr>
        <w:lastRenderedPageBreak/>
        <w:t>hiệu lực trong phạm vi đơn vị hành chính đó và phải được quy định cụ thể ngay trong văn bản đó. Trường hợp nhiều đơn vị hành chính được nhập thành một đơn vị hành chính mới cùng cấp thì Hội đồng nhân dân, Ủy ban nhân dân của đơn vị hành chính mới quyết định việc áp dụng văn bản quy phạm pháp luật của Hội đồng nhân dân, Ủy ban nhân dân của đơn vị hành chính được nhập hoặc ban hành văn bản quy phạm pháp luật mới”</w:t>
      </w:r>
      <w:r w:rsidR="00E03568">
        <w:t>.</w:t>
      </w:r>
    </w:p>
    <w:p w:rsidR="00DE2FFD" w:rsidRDefault="00DE2FFD" w:rsidP="00A364C8">
      <w:pPr>
        <w:spacing w:line="259" w:lineRule="auto"/>
        <w:ind w:firstLine="720"/>
        <w:jc w:val="both"/>
        <w:rPr>
          <w:spacing w:val="-4"/>
        </w:rPr>
      </w:pPr>
      <w:r w:rsidRPr="00863149">
        <w:rPr>
          <w:spacing w:val="-4"/>
        </w:rPr>
        <w:t>- Ngày 12/9/2025, UBND thành phố đã ban hành Quyết định số 3716/QĐ-UBND về việc phê duyệt danh mục văn bản quy phạm pháp luật để quy định chi tiết các nội dung được giao và quy định theo điểm b và điểm c khoản 2, khoản 3 Điều 21 Luật Ban hành văn bản quy phạm pháp luật, trong đó, giao Công an thành phố chủ trì, phối hợp với các sở, ban, ngành</w:t>
      </w:r>
      <w:r w:rsidR="00863149" w:rsidRPr="00863149">
        <w:rPr>
          <w:spacing w:val="-4"/>
        </w:rPr>
        <w:t>, Công an cấp xã và các cơ quan, tổ chức</w:t>
      </w:r>
      <w:r w:rsidRPr="00863149">
        <w:rPr>
          <w:spacing w:val="-4"/>
        </w:rPr>
        <w:t xml:space="preserve"> liên quan</w:t>
      </w:r>
      <w:r w:rsidR="00863149" w:rsidRPr="00863149">
        <w:rPr>
          <w:spacing w:val="-4"/>
        </w:rPr>
        <w:t xml:space="preserve"> xây dựng dự thảo Quyết định ban hành quy định về bảo vệ an ninh, trật tự, an toàn trụ sở tiếp công dân của các cơ quan Đảng, Nhà nước trên địa bàn thành phố Hải Phòng; thời gian trình ban hành là tháng 12/2025; </w:t>
      </w:r>
      <w:r w:rsidR="00A364C8">
        <w:rPr>
          <w:spacing w:val="-4"/>
        </w:rPr>
        <w:t>v</w:t>
      </w:r>
      <w:r w:rsidR="00863149" w:rsidRPr="00863149">
        <w:rPr>
          <w:spacing w:val="-4"/>
        </w:rPr>
        <w:t>iệc xây dựng và trình ban hành văn bản thực hiện theo trình tự, thủ tục bảo đảm quy định của pháp luật về ban hành văn bản quy phạm pháp luật.</w:t>
      </w:r>
    </w:p>
    <w:p w:rsidR="00863149" w:rsidRPr="00863149" w:rsidRDefault="00863149" w:rsidP="00A364C8">
      <w:pPr>
        <w:spacing w:line="259" w:lineRule="auto"/>
        <w:ind w:firstLine="720"/>
        <w:jc w:val="both"/>
        <w:rPr>
          <w:b/>
          <w:spacing w:val="-4"/>
        </w:rPr>
      </w:pPr>
      <w:r w:rsidRPr="00863149">
        <w:rPr>
          <w:b/>
          <w:spacing w:val="-4"/>
        </w:rPr>
        <w:t>3. Cơ sở thực tiễn</w:t>
      </w:r>
    </w:p>
    <w:p w:rsidR="009C4735" w:rsidRDefault="00863149" w:rsidP="00A364C8">
      <w:pPr>
        <w:spacing w:line="259" w:lineRule="auto"/>
        <w:ind w:firstLine="720"/>
        <w:jc w:val="both"/>
      </w:pPr>
      <w:r>
        <w:t xml:space="preserve">- Đối với công tác bảo </w:t>
      </w:r>
      <w:r w:rsidR="00AC5C76">
        <w:t>vệ</w:t>
      </w:r>
      <w:r>
        <w:t xml:space="preserve"> an ninh, trật tự, an toàn tại trụ sở tiếp công dân của các cơ quan Đảng, Nhà nước: Trước khi sáp nhập, Ủy ban nhân dân tỉnh Hải Dương (cũ) đã ban hành Quyết định số 13/2015/QĐ-UBND ngày 24/7/2015 ban hành quy định về bảo vệ an ninh, trật tự, an toàn tại trụ sở tiếp công dân của các cơ quan Đảng, Nhà nước trên địa bàn tỉnh Hải Dương (Ủy ban nhân dân thành phố Hải Phòng (cũ) chưa xây dựng Quyết định quy định về nội dung trên). Việc ban hành Quyết định trên giúp nâng cao hiệu lực, hiệu quả trong công tác quản lý nhà nước về ANTT, đặc biệt là an ninh, trật tự, an toàn tại các trụ sở tiếp công dân của các cơ quan Đảng, Nhà nước trên địa bàn tỉnh Hải Dương (cũ), là cơ sở để lãnh đạo các cơ quan, tổ chức thực hiện tốt công tác chỉ đạo, điều hành. </w:t>
      </w:r>
      <w:r>
        <w:tab/>
        <w:t>Tuy nhiên, thực hiện chủ trương của Đảng, Nhà nước ngày 01/7/2025, tỉnh Dương và thành phố Hải Phòng đã hợp nhất để thành lập thành phố Hải Phòng mới, do vậy phạm vi điều chỉnh của Quyết định số 13/2015/QĐ-UBND ngày 24/7/2015 của UBND tỉnh Hải Dương không còn phù hợp với đặc điểm tình hình của thành phố Hải Phòng mới; đồng thời, có một số quy định trong Quyết định số 13/2015/QĐ-UBND không còn phù hợp với quy định của pháp luật hiện hành (khoản 2 Điều 5 quy định về thẩm quyền của Công an cấp huyện, Điều 8 quy định về trách nhiệm của UBND huyện, thành phố, thị xã</w:t>
      </w:r>
      <w:r w:rsidR="000A782B">
        <w:t>, Điều 11 Chế độ thông tin, báo cáo</w:t>
      </w:r>
      <w:r>
        <w:t>…).</w:t>
      </w:r>
    </w:p>
    <w:p w:rsidR="009C4735" w:rsidRDefault="00170384" w:rsidP="00A364C8">
      <w:pPr>
        <w:spacing w:line="259" w:lineRule="auto"/>
        <w:ind w:firstLine="720"/>
        <w:jc w:val="both"/>
        <w:rPr>
          <w:spacing w:val="-2"/>
        </w:rPr>
      </w:pPr>
      <w:r>
        <w:rPr>
          <w:spacing w:val="-2"/>
        </w:rPr>
        <w:t xml:space="preserve">- Khiếu nại, tố cáo, kiến nghị, phản ánh là một trong những quyền cơ bản của công dân, được quy định trong Hiến pháp và hệ thống pháp luật nước ta. Trong những năm qua, trên phạm vi cả nước nói chung và tỉnh Hải Dương (cũ), thành phố Hải Phòng (cũ) nói riêng, nội dung khiếu nại, tố cáo, kiến nghị, phản ánh chủ yếu vẫn liên quan đến lĩnh vực đất đai, thực hiện chính sách bồi thường, </w:t>
      </w:r>
      <w:r>
        <w:rPr>
          <w:spacing w:val="-2"/>
        </w:rPr>
        <w:lastRenderedPageBreak/>
        <w:t>hỗ trợ và tái định cư khi thu hồi đất để triển khai các dự án xây dựng cơ sở hạ tầng, phát triển kinh tế - xã hội. Thế nhưng, một số trường hợp đã lợi dụng quyền này làm ảnh hưởng đến an ninh, trật tự. Đáng chú ý, một số công dân chưa thực hiện đúng quyền và nghĩa vụ của mình trong việc khiếu nại, tố cáo, kiến nghị, phản ánh; tập trung khiếu kiện đông người, khiếu kiện vượt cấp mặc dù đã được các cơ quan ở địa phương xem xét, giải quyết (Từ năm 202</w:t>
      </w:r>
      <w:r w:rsidR="00E61C3D">
        <w:rPr>
          <w:spacing w:val="-2"/>
        </w:rPr>
        <w:t>3</w:t>
      </w:r>
      <w:r>
        <w:rPr>
          <w:spacing w:val="-2"/>
        </w:rPr>
        <w:t xml:space="preserve"> đến </w:t>
      </w:r>
      <w:r w:rsidR="00FA5790">
        <w:rPr>
          <w:spacing w:val="-2"/>
        </w:rPr>
        <w:t>hết ngày 30/6/2025</w:t>
      </w:r>
      <w:r>
        <w:rPr>
          <w:spacing w:val="-2"/>
        </w:rPr>
        <w:t xml:space="preserve">, </w:t>
      </w:r>
      <w:r w:rsidR="00FA5790" w:rsidRPr="00FA5790">
        <w:t>c</w:t>
      </w:r>
      <w:r w:rsidR="00FA5790" w:rsidRPr="00FA5790">
        <w:rPr>
          <w:bCs/>
          <w:lang w:val="da-DK"/>
        </w:rPr>
        <w:t xml:space="preserve">ơ quan hành chính nhà nước các cấp </w:t>
      </w:r>
      <w:r w:rsidR="00FA5790">
        <w:rPr>
          <w:bCs/>
          <w:lang w:val="da-DK"/>
        </w:rPr>
        <w:t>trên địa bàn tỉnh</w:t>
      </w:r>
      <w:r w:rsidR="00C02D3B">
        <w:rPr>
          <w:bCs/>
          <w:lang w:val="da-DK"/>
        </w:rPr>
        <w:t xml:space="preserve"> Hải Dương</w:t>
      </w:r>
      <w:r w:rsidR="00FA5790">
        <w:rPr>
          <w:bCs/>
          <w:lang w:val="da-DK"/>
        </w:rPr>
        <w:t xml:space="preserve"> </w:t>
      </w:r>
      <w:r w:rsidR="00FA5790" w:rsidRPr="00FA5790">
        <w:rPr>
          <w:bCs/>
          <w:lang w:val="da-DK"/>
        </w:rPr>
        <w:t xml:space="preserve">đã tiếp </w:t>
      </w:r>
      <w:r w:rsidR="00E61C3D">
        <w:rPr>
          <w:b/>
          <w:bCs/>
          <w:lang w:val="da-DK"/>
        </w:rPr>
        <w:t>16</w:t>
      </w:r>
      <w:r w:rsidR="00FA5790">
        <w:rPr>
          <w:b/>
          <w:bCs/>
          <w:lang w:val="da-DK"/>
        </w:rPr>
        <w:t>.</w:t>
      </w:r>
      <w:r w:rsidR="00E61C3D">
        <w:rPr>
          <w:b/>
          <w:bCs/>
          <w:lang w:val="da-DK"/>
        </w:rPr>
        <w:t>702</w:t>
      </w:r>
      <w:r w:rsidR="00FA5790" w:rsidRPr="00FA5790">
        <w:rPr>
          <w:b/>
          <w:bCs/>
          <w:lang w:val="da-DK"/>
        </w:rPr>
        <w:t xml:space="preserve"> </w:t>
      </w:r>
      <w:r w:rsidR="00FA5790" w:rsidRPr="00FA5790">
        <w:rPr>
          <w:bCs/>
          <w:lang w:val="da-DK"/>
        </w:rPr>
        <w:t>lượt c</w:t>
      </w:r>
      <w:r w:rsidR="00FA5790" w:rsidRPr="00FA5790">
        <w:rPr>
          <w:lang w:val="da-DK"/>
        </w:rPr>
        <w:t>ô</w:t>
      </w:r>
      <w:r w:rsidR="00FA5790" w:rsidRPr="00FA5790">
        <w:rPr>
          <w:bCs/>
          <w:lang w:val="da-DK"/>
        </w:rPr>
        <w:t>ng d</w:t>
      </w:r>
      <w:r w:rsidR="00FA5790" w:rsidRPr="00FA5790">
        <w:rPr>
          <w:lang w:val="da-DK"/>
        </w:rPr>
        <w:t>â</w:t>
      </w:r>
      <w:r w:rsidR="00FA5790" w:rsidRPr="00FA5790">
        <w:rPr>
          <w:bCs/>
          <w:lang w:val="da-DK"/>
        </w:rPr>
        <w:t xml:space="preserve">n </w:t>
      </w:r>
      <w:r w:rsidR="00FA5790" w:rsidRPr="00FA5790">
        <w:rPr>
          <w:lang w:val="da-DK"/>
        </w:rPr>
        <w:t>đến</w:t>
      </w:r>
      <w:r w:rsidR="00FA5790" w:rsidRPr="00FA5790">
        <w:rPr>
          <w:bCs/>
          <w:lang w:val="da-DK"/>
        </w:rPr>
        <w:t xml:space="preserve"> khi</w:t>
      </w:r>
      <w:r w:rsidR="00FA5790" w:rsidRPr="00FA5790">
        <w:rPr>
          <w:lang w:val="da-DK"/>
        </w:rPr>
        <w:t>ếu</w:t>
      </w:r>
      <w:r w:rsidR="00FA5790" w:rsidRPr="00FA5790">
        <w:rPr>
          <w:bCs/>
          <w:lang w:val="da-DK"/>
        </w:rPr>
        <w:t xml:space="preserve"> n</w:t>
      </w:r>
      <w:r w:rsidR="00FA5790" w:rsidRPr="00FA5790">
        <w:rPr>
          <w:lang w:val="da-DK"/>
        </w:rPr>
        <w:t>ại</w:t>
      </w:r>
      <w:r w:rsidR="00FA5790" w:rsidRPr="00FA5790">
        <w:rPr>
          <w:bCs/>
          <w:lang w:val="da-DK"/>
        </w:rPr>
        <w:t>, t</w:t>
      </w:r>
      <w:r w:rsidR="00FA5790" w:rsidRPr="00FA5790">
        <w:rPr>
          <w:lang w:val="da-DK"/>
        </w:rPr>
        <w:t>ố</w:t>
      </w:r>
      <w:r w:rsidR="00FA5790" w:rsidRPr="00FA5790">
        <w:rPr>
          <w:bCs/>
          <w:lang w:val="da-DK"/>
        </w:rPr>
        <w:t xml:space="preserve"> c</w:t>
      </w:r>
      <w:r w:rsidR="00FA5790" w:rsidRPr="00FA5790">
        <w:rPr>
          <w:lang w:val="da-DK"/>
        </w:rPr>
        <w:t>á</w:t>
      </w:r>
      <w:r w:rsidR="00FA5790" w:rsidRPr="00FA5790">
        <w:rPr>
          <w:bCs/>
          <w:lang w:val="da-DK"/>
        </w:rPr>
        <w:t>o</w:t>
      </w:r>
      <w:r w:rsidR="00C02D3B">
        <w:rPr>
          <w:bCs/>
          <w:lang w:val="da-DK"/>
        </w:rPr>
        <w:t xml:space="preserve">, trong đó có </w:t>
      </w:r>
      <w:r w:rsidR="00C02D3B" w:rsidRPr="00C02D3B">
        <w:rPr>
          <w:b/>
          <w:bCs/>
          <w:lang w:val="da-DK"/>
        </w:rPr>
        <w:t>108</w:t>
      </w:r>
      <w:r w:rsidR="00C02D3B">
        <w:rPr>
          <w:bCs/>
          <w:lang w:val="da-DK"/>
        </w:rPr>
        <w:t xml:space="preserve"> đoàn đông người</w:t>
      </w:r>
      <w:r w:rsidR="00FA5790">
        <w:rPr>
          <w:bCs/>
          <w:lang w:val="da-DK"/>
        </w:rPr>
        <w:t>;</w:t>
      </w:r>
      <w:r w:rsidR="00E61C3D">
        <w:rPr>
          <w:bCs/>
          <w:lang w:val="da-DK"/>
        </w:rPr>
        <w:t xml:space="preserve"> </w:t>
      </w:r>
      <w:r w:rsidR="00C02D3B">
        <w:rPr>
          <w:bCs/>
          <w:lang w:val="da-DK"/>
        </w:rPr>
        <w:t xml:space="preserve">các </w:t>
      </w:r>
      <w:r w:rsidR="00E61C3D" w:rsidRPr="00FA5790">
        <w:t>c</w:t>
      </w:r>
      <w:r w:rsidR="00E61C3D" w:rsidRPr="00FA5790">
        <w:rPr>
          <w:bCs/>
          <w:lang w:val="da-DK"/>
        </w:rPr>
        <w:t xml:space="preserve">ơ quan hành chính nhà nước các cấp </w:t>
      </w:r>
      <w:r w:rsidR="00E61C3D">
        <w:rPr>
          <w:bCs/>
          <w:lang w:val="da-DK"/>
        </w:rPr>
        <w:t>trên địa bàn thành phố</w:t>
      </w:r>
      <w:r w:rsidR="00C02D3B">
        <w:rPr>
          <w:bCs/>
          <w:lang w:val="da-DK"/>
        </w:rPr>
        <w:t xml:space="preserve"> Hải Phòng đã tiếp </w:t>
      </w:r>
      <w:r w:rsidR="00C02D3B" w:rsidRPr="00C02D3B">
        <w:rPr>
          <w:b/>
          <w:bCs/>
          <w:lang w:val="da-DK"/>
        </w:rPr>
        <w:t>9.747</w:t>
      </w:r>
      <w:r w:rsidR="00C02D3B">
        <w:rPr>
          <w:bCs/>
          <w:lang w:val="da-DK"/>
        </w:rPr>
        <w:t xml:space="preserve"> lượt công dân đến khiếu nại, tố cáo, trong đó có </w:t>
      </w:r>
      <w:r w:rsidR="00C02D3B" w:rsidRPr="00C02D3B">
        <w:rPr>
          <w:b/>
          <w:bCs/>
          <w:lang w:val="da-DK"/>
        </w:rPr>
        <w:t>473</w:t>
      </w:r>
      <w:r w:rsidR="00C02D3B">
        <w:rPr>
          <w:bCs/>
          <w:lang w:val="da-DK"/>
        </w:rPr>
        <w:t xml:space="preserve"> đoàn đông người</w:t>
      </w:r>
      <w:r w:rsidR="009C4735">
        <w:rPr>
          <w:bCs/>
          <w:lang w:val="da-DK"/>
        </w:rPr>
        <w:t xml:space="preserve">). </w:t>
      </w:r>
      <w:r>
        <w:rPr>
          <w:spacing w:val="-2"/>
        </w:rPr>
        <w:t>Một số trường hợp công dân bị các phần tử xấu lợi dụng xúi giục, kích động, liên kết tập trung khiếu kiện đông người, gây áp lực đối với chính quyền đòi giải quyết theo yêu cầu không chính đáng, thậm chí một số trường hợp còn lợi dụng quyền khiếu nại, tố cáo, kiến nghị, phản ánh để vi phạm pháp luật.</w:t>
      </w:r>
    </w:p>
    <w:p w:rsidR="00EB022B" w:rsidRDefault="009C4735" w:rsidP="00A364C8">
      <w:pPr>
        <w:spacing w:line="259" w:lineRule="auto"/>
        <w:ind w:firstLine="720"/>
        <w:jc w:val="both"/>
        <w:rPr>
          <w:spacing w:val="-2"/>
        </w:rPr>
      </w:pPr>
      <w:r>
        <w:rPr>
          <w:spacing w:val="-2"/>
        </w:rPr>
        <w:t>- Ngày 2</w:t>
      </w:r>
      <w:r w:rsidR="00477F2B">
        <w:rPr>
          <w:spacing w:val="-2"/>
        </w:rPr>
        <w:t>9</w:t>
      </w:r>
      <w:r>
        <w:rPr>
          <w:spacing w:val="-2"/>
        </w:rPr>
        <w:t>/8/2025, UBND thành phố Hải Phòng đã ban hành Quyết định số 3</w:t>
      </w:r>
      <w:r w:rsidR="00477F2B">
        <w:rPr>
          <w:spacing w:val="-2"/>
        </w:rPr>
        <w:t>549</w:t>
      </w:r>
      <w:r>
        <w:rPr>
          <w:spacing w:val="-2"/>
        </w:rPr>
        <w:t xml:space="preserve">/QĐ-UBND về việc ban hành </w:t>
      </w:r>
      <w:r w:rsidR="00477F2B">
        <w:rPr>
          <w:spacing w:val="-2"/>
        </w:rPr>
        <w:t>Mô hình thí điểm tiếp công dân trực tuyến của Ủy ban nhân dân thành phố Hải Phòng. Việc đưa mô hình tiếp công dân trực tuyến vào thực tiễn không chỉ nâng cao tính minh bạch, hiệu quả trong giải quyết khiếu nại, tố cáo, kiến nghị, phản ánh còn góp phần</w:t>
      </w:r>
      <w:r w:rsidR="00477F2B" w:rsidRPr="00477F2B">
        <w:rPr>
          <w:spacing w:val="-2"/>
        </w:rPr>
        <w:t xml:space="preserve"> </w:t>
      </w:r>
      <w:r w:rsidR="00477F2B">
        <w:rPr>
          <w:spacing w:val="-2"/>
        </w:rPr>
        <w:t xml:space="preserve">thúc đẩy cải cách hành chính, chuyển đổi số và xây dựng chính quyền điện tử, đưa chính quyền đến gần người dân. </w:t>
      </w:r>
      <w:r w:rsidR="00EB022B" w:rsidRPr="007812BF">
        <w:rPr>
          <w:spacing w:val="-2"/>
        </w:rPr>
        <w:t>Cùng với xu hướng chuyển đổi số trong hoạt động tiếp công dân, nhiều nội dung khiếu nại, tố cáo</w:t>
      </w:r>
      <w:r w:rsidR="00EB022B">
        <w:rPr>
          <w:spacing w:val="-2"/>
        </w:rPr>
        <w:t xml:space="preserve">, </w:t>
      </w:r>
      <w:r w:rsidR="00E61C3D">
        <w:rPr>
          <w:spacing w:val="-2"/>
        </w:rPr>
        <w:t>kiến nghị, phản ánh</w:t>
      </w:r>
      <w:r w:rsidR="00EB022B" w:rsidRPr="007812BF">
        <w:rPr>
          <w:spacing w:val="-2"/>
        </w:rPr>
        <w:t xml:space="preserve"> của công dân được đăng tải, chia sẻ, bình luận trên mạng xã hội </w:t>
      </w:r>
      <w:r w:rsidR="00EB022B" w:rsidRPr="007812BF">
        <w:rPr>
          <w:i/>
          <w:spacing w:val="-2"/>
        </w:rPr>
        <w:t xml:space="preserve">(Facebook, Zalo, các diễn đàn địa phương…) </w:t>
      </w:r>
      <w:r w:rsidR="00EB022B" w:rsidRPr="007812BF">
        <w:rPr>
          <w:spacing w:val="-2"/>
        </w:rPr>
        <w:t>đã tạo ra những thách thức mới cho công tác nắm tình hình dư luận, phòng ngừa, ngăn chặn các hành vi lợi dụng không gian mạng để xuyên tạc, kích động, lan truyền thông tin sai lệch về chính quyền, cán bộ và công tác giải quyết khiếu nại, tố cáo</w:t>
      </w:r>
      <w:r w:rsidR="00EB022B" w:rsidRPr="00EB022B">
        <w:rPr>
          <w:spacing w:val="-2"/>
        </w:rPr>
        <w:t xml:space="preserve"> </w:t>
      </w:r>
      <w:r w:rsidR="00EB022B">
        <w:rPr>
          <w:spacing w:val="-2"/>
        </w:rPr>
        <w:t>kiến nghị, phản ánh.</w:t>
      </w:r>
      <w:r w:rsidR="00EB022B" w:rsidRPr="007812BF">
        <w:rPr>
          <w:spacing w:val="-2"/>
        </w:rPr>
        <w:t xml:space="preserve"> Từ đó đặt ra yêu cầu đối với lực lượng Công an là phải kết hợp giữa bảo vệ an ninh, trật tự trên địa bàn với theo dõi, nắm tình hình</w:t>
      </w:r>
      <w:r w:rsidR="00EB022B">
        <w:rPr>
          <w:spacing w:val="-2"/>
        </w:rPr>
        <w:t xml:space="preserve"> và bảo đảm an toàn, an ninh thông tin, dữ liệu</w:t>
      </w:r>
      <w:r w:rsidR="00EB022B" w:rsidRPr="007812BF">
        <w:rPr>
          <w:spacing w:val="-2"/>
        </w:rPr>
        <w:t xml:space="preserve"> trên không gian mạng nhằm chủ động phát hiện, xử lý từ sớm, từ xa các nguy cơ ảnh hưởng đến an ninh</w:t>
      </w:r>
      <w:r w:rsidR="00EB022B">
        <w:rPr>
          <w:spacing w:val="-2"/>
        </w:rPr>
        <w:t>,</w:t>
      </w:r>
      <w:r w:rsidR="00EB022B" w:rsidRPr="007812BF">
        <w:rPr>
          <w:spacing w:val="-2"/>
        </w:rPr>
        <w:t xml:space="preserve"> trật tự</w:t>
      </w:r>
      <w:r w:rsidR="00EB022B">
        <w:rPr>
          <w:spacing w:val="-2"/>
        </w:rPr>
        <w:t>, an toàn</w:t>
      </w:r>
      <w:r w:rsidR="00EB022B" w:rsidRPr="007812BF">
        <w:rPr>
          <w:spacing w:val="-2"/>
        </w:rPr>
        <w:t xml:space="preserve"> tại trụ sở tiếp công dân.</w:t>
      </w:r>
    </w:p>
    <w:p w:rsidR="00A364C8" w:rsidRPr="00863149" w:rsidRDefault="00B227B6" w:rsidP="00A364C8">
      <w:pPr>
        <w:spacing w:line="259" w:lineRule="auto"/>
        <w:ind w:firstLine="720"/>
        <w:jc w:val="both"/>
        <w:rPr>
          <w:spacing w:val="-4"/>
        </w:rPr>
      </w:pPr>
      <w:r>
        <w:rPr>
          <w:spacing w:val="-4"/>
        </w:rPr>
        <w:t>Trong bối cảnh địa bàn được mở rộng và số lượt công dân đến khiếu nại, tố cáo, kiến nghị, phản ánh vẫn tiếp tục tăng theo xu hướng mỗi năm, xuất phát từ thực ti</w:t>
      </w:r>
      <w:r w:rsidR="009C4735">
        <w:rPr>
          <w:spacing w:val="-4"/>
        </w:rPr>
        <w:t xml:space="preserve">ễn nêu trên, việc ban hành </w:t>
      </w:r>
      <w:r w:rsidR="009C4735" w:rsidRPr="009C4735">
        <w:rPr>
          <w:i/>
          <w:spacing w:val="-4"/>
        </w:rPr>
        <w:t>Quyết định ban hành quy định về bảo vệ an ninh, trật tự, an toàn tại trụ sở tiếp công dân của các cơ quan Đảng, Nhà nước trên địa bàn thành phố Hải Phò</w:t>
      </w:r>
      <w:r>
        <w:rPr>
          <w:spacing w:val="-4"/>
        </w:rPr>
        <w:t>ng là cần thiết nhằm nâng cao hiệu quả phối hợp bảo vệ an ninh, trật tự, an toàn tại trụ sở tiếp công dân.</w:t>
      </w:r>
    </w:p>
    <w:p w:rsidR="00E03568" w:rsidRPr="0062204C" w:rsidRDefault="00FE0657" w:rsidP="00A364C8">
      <w:pPr>
        <w:spacing w:line="259" w:lineRule="auto"/>
        <w:ind w:firstLine="720"/>
        <w:jc w:val="both"/>
        <w:rPr>
          <w:b/>
        </w:rPr>
      </w:pPr>
      <w:r>
        <w:rPr>
          <w:b/>
        </w:rPr>
        <w:t>II. MỤC ĐÍCH BAN HÀNH, QUAN ĐIỂM XÂY DỰNG DỰ THẢO</w:t>
      </w:r>
    </w:p>
    <w:p w:rsidR="00E03568" w:rsidRPr="0062204C" w:rsidRDefault="00E03568" w:rsidP="00A364C8">
      <w:pPr>
        <w:spacing w:line="259" w:lineRule="auto"/>
        <w:ind w:firstLine="720"/>
        <w:jc w:val="both"/>
        <w:rPr>
          <w:b/>
        </w:rPr>
      </w:pPr>
      <w:r w:rsidRPr="0062204C">
        <w:rPr>
          <w:b/>
        </w:rPr>
        <w:t>1. Mục đích</w:t>
      </w:r>
    </w:p>
    <w:p w:rsidR="00E03568" w:rsidRDefault="00FE0657" w:rsidP="00A364C8">
      <w:pPr>
        <w:spacing w:line="259" w:lineRule="auto"/>
        <w:ind w:firstLine="720"/>
        <w:jc w:val="both"/>
      </w:pPr>
      <w:r>
        <w:t xml:space="preserve">- </w:t>
      </w:r>
      <w:r w:rsidR="00136650">
        <w:t xml:space="preserve">Việc xây dựng Quyết định ban hành quy định về bảo vệ an ninh, trật tự, an toàn tại trụ sở tiếp công dân của các cơ quan Đảng, Nhà nước trên địa bàn </w:t>
      </w:r>
      <w:r w:rsidR="00136650">
        <w:lastRenderedPageBreak/>
        <w:t>thành phố Hải Phòng giúp nâng cao hiệu lực, hiệu quả trong công tác quản lý nhà nước về ANTT tại các trụ sở tiếp dân của cơ quan Đảng, Nhà nước trên địa bàn thành phố Hải Phòng và đưa công tác bảo vệ an ninh, trật tự, an toàn tại trụ sở tiếp công dân của các cơ quan Đảng, Nhà</w:t>
      </w:r>
      <w:r w:rsidR="00570105">
        <w:t xml:space="preserve"> nước đi vào nề nếp, </w:t>
      </w:r>
      <w:r w:rsidR="0062204C">
        <w:t xml:space="preserve">thống nhất, </w:t>
      </w:r>
      <w:r w:rsidR="00570105">
        <w:t>hiệu quả.</w:t>
      </w:r>
    </w:p>
    <w:p w:rsidR="00FE0657" w:rsidRDefault="00FE0657" w:rsidP="00A364C8">
      <w:pPr>
        <w:spacing w:line="259" w:lineRule="auto"/>
        <w:ind w:firstLine="720"/>
        <w:jc w:val="both"/>
      </w:pPr>
      <w:r>
        <w:t>- Tạo cơ sở pháp lý rõ ràng, cụ thể, thuận lợi; tăng cường sự phối hợp giữa các sở, ban, ngành, UBND xã, phường, đặc khu về quản lý nhà nước trong lĩnh vực này; đảm bảo tính chủ động, thống nhất, đồng bộ, đảm bảo phù hợp với chủ trương tổ chức bộ máy quản lý nhà nước thời gina qua và trong giai đoạn sắp tới.</w:t>
      </w:r>
    </w:p>
    <w:p w:rsidR="00570105" w:rsidRPr="0062204C" w:rsidRDefault="00570105" w:rsidP="00A364C8">
      <w:pPr>
        <w:spacing w:line="259" w:lineRule="auto"/>
        <w:ind w:firstLine="720"/>
        <w:jc w:val="both"/>
        <w:rPr>
          <w:b/>
        </w:rPr>
      </w:pPr>
      <w:r w:rsidRPr="0062204C">
        <w:rPr>
          <w:b/>
        </w:rPr>
        <w:t xml:space="preserve">2. Quan điểm xây dựng văn bản </w:t>
      </w:r>
    </w:p>
    <w:p w:rsidR="00570105" w:rsidRDefault="00FE0657" w:rsidP="00A364C8">
      <w:pPr>
        <w:spacing w:line="259" w:lineRule="auto"/>
        <w:ind w:firstLine="720"/>
        <w:jc w:val="both"/>
      </w:pPr>
      <w:r>
        <w:t xml:space="preserve">- </w:t>
      </w:r>
      <w:r w:rsidR="00570105">
        <w:t>Việc xây dựng Quyết định này được thực hiện đúng quy định của pháp luật, đúng thẩm quyền, bảo đảm tính thống nhất, đồng bộ với hệ thống văn bản quy phạm pháp luật hiện hành.</w:t>
      </w:r>
    </w:p>
    <w:p w:rsidR="00FE0657" w:rsidRDefault="00FE0657" w:rsidP="00A364C8">
      <w:pPr>
        <w:spacing w:line="259" w:lineRule="auto"/>
        <w:ind w:firstLine="720"/>
        <w:jc w:val="both"/>
      </w:pPr>
      <w:r>
        <w:t xml:space="preserve">- Kế thừa, phát triển những quy định còn phù hợp của Quyết định số 13/2015/QĐ-UBND ngày 24/7/2015 của UBND tỉnh Hải Dương; sửa đổi, bổ sung các quy định mới nhằm khắc phục các hạn chế, bất cập, vướng mắc trong hoạt động </w:t>
      </w:r>
      <w:r w:rsidR="00AC5C76">
        <w:t>bảo vệ</w:t>
      </w:r>
      <w:r>
        <w:t xml:space="preserve"> an ninh, trật tự, an toàn tại trụ sở tiếp công dân.</w:t>
      </w:r>
    </w:p>
    <w:p w:rsidR="00204D91" w:rsidRPr="00A776B9" w:rsidRDefault="00204D91" w:rsidP="00A364C8">
      <w:pPr>
        <w:spacing w:line="259" w:lineRule="auto"/>
        <w:ind w:firstLine="720"/>
        <w:jc w:val="both"/>
        <w:rPr>
          <w:b/>
        </w:rPr>
      </w:pPr>
      <w:r w:rsidRPr="00A776B9">
        <w:rPr>
          <w:b/>
        </w:rPr>
        <w:t>III. QUÁ TRÌNH XÂY DỰNG DỰ THẢO VĂN BẢN</w:t>
      </w:r>
    </w:p>
    <w:p w:rsidR="008156C8" w:rsidRDefault="00204D91" w:rsidP="00A364C8">
      <w:pPr>
        <w:spacing w:line="259" w:lineRule="auto"/>
        <w:ind w:firstLine="720"/>
        <w:jc w:val="both"/>
        <w:rPr>
          <w:spacing w:val="-4"/>
        </w:rPr>
      </w:pPr>
      <w:r>
        <w:t xml:space="preserve">Thực hiện quy trình, thủ tục xây dựng văn bản theo quy định của pháp luật về ban hành văn bản quy phạm pháp luật; </w:t>
      </w:r>
      <w:r w:rsidRPr="00863149">
        <w:rPr>
          <w:spacing w:val="-4"/>
        </w:rPr>
        <w:t xml:space="preserve">Quyết định số 3716/QĐ-UBND </w:t>
      </w:r>
      <w:r>
        <w:rPr>
          <w:spacing w:val="-4"/>
        </w:rPr>
        <w:t xml:space="preserve">ngày 12/9/2025 của UBND thành phố </w:t>
      </w:r>
      <w:r w:rsidRPr="00863149">
        <w:rPr>
          <w:spacing w:val="-4"/>
        </w:rPr>
        <w:t>về việc phê duyệt danh mục văn bản quy phạm pháp luật để quy định chi tiết các nội dung được giao và quy định theo điểm b và điểm c khoản 2, khoản 3 Điều 21 Luật Ban hành văn bản quy phạm pháp luật</w:t>
      </w:r>
      <w:r>
        <w:rPr>
          <w:spacing w:val="-4"/>
        </w:rPr>
        <w:t>.</w:t>
      </w:r>
    </w:p>
    <w:p w:rsidR="008156C8" w:rsidRDefault="008156C8" w:rsidP="00A364C8">
      <w:pPr>
        <w:spacing w:line="259" w:lineRule="auto"/>
        <w:ind w:firstLine="720"/>
        <w:jc w:val="both"/>
        <w:rPr>
          <w:spacing w:val="-4"/>
        </w:rPr>
      </w:pPr>
      <w:r>
        <w:rPr>
          <w:spacing w:val="-4"/>
        </w:rPr>
        <w:t xml:space="preserve">1. Giao nhiệm vụ tham mưu xây dựng dự thảo Quyết định ban hành quy định về công tác bảo </w:t>
      </w:r>
      <w:r w:rsidR="00AC5C76">
        <w:rPr>
          <w:spacing w:val="-4"/>
        </w:rPr>
        <w:t>vệ</w:t>
      </w:r>
      <w:r>
        <w:rPr>
          <w:spacing w:val="-4"/>
        </w:rPr>
        <w:t xml:space="preserve"> an ninh, trật tự, an toàn trụ sở tiếp công dân của các cơ quan Đảng, Nhà nước trên địa bàn thành phố.</w:t>
      </w:r>
    </w:p>
    <w:p w:rsidR="00204D91" w:rsidRDefault="00204D91" w:rsidP="00A364C8">
      <w:pPr>
        <w:spacing w:line="259" w:lineRule="auto"/>
        <w:ind w:firstLine="720"/>
        <w:jc w:val="both"/>
        <w:rPr>
          <w:spacing w:val="-4"/>
        </w:rPr>
      </w:pPr>
      <w:r>
        <w:rPr>
          <w:spacing w:val="-4"/>
        </w:rPr>
        <w:t xml:space="preserve"> </w:t>
      </w:r>
      <w:r w:rsidR="008156C8">
        <w:rPr>
          <w:spacing w:val="-4"/>
        </w:rPr>
        <w:t xml:space="preserve">2. </w:t>
      </w:r>
      <w:r>
        <w:rPr>
          <w:spacing w:val="-4"/>
        </w:rPr>
        <w:t>Tổng kết, đánh giá kết quả thực hiện Quyết định số 13/2015/QĐ-UBND ngày 24/7/2015 của UBND tỉnh Hải Dương (Báo cáo số…../BC-CAHP-PV01 ngày….../11/2025 của Công an thành phố).</w:t>
      </w:r>
    </w:p>
    <w:p w:rsidR="00204D91" w:rsidRDefault="008156C8" w:rsidP="00A364C8">
      <w:pPr>
        <w:spacing w:line="259" w:lineRule="auto"/>
        <w:ind w:firstLine="720"/>
        <w:jc w:val="both"/>
        <w:rPr>
          <w:spacing w:val="-4"/>
        </w:rPr>
      </w:pPr>
      <w:r>
        <w:rPr>
          <w:spacing w:val="-4"/>
        </w:rPr>
        <w:t>3.</w:t>
      </w:r>
      <w:r w:rsidR="00204D91">
        <w:rPr>
          <w:spacing w:val="-4"/>
        </w:rPr>
        <w:t xml:space="preserve"> Rà soát các quy định của Quyết định số 13/2015/QĐ-UBND, so sánh, đối chiếu với các quy định của pháp luật có liên quan và thực tiễn để sửa đổi, bổ sung trong dự thảo Quyết định cho phù hợp.</w:t>
      </w:r>
    </w:p>
    <w:p w:rsidR="00204D91" w:rsidRDefault="008156C8" w:rsidP="00A364C8">
      <w:pPr>
        <w:spacing w:line="259" w:lineRule="auto"/>
        <w:ind w:firstLine="720"/>
        <w:jc w:val="both"/>
        <w:rPr>
          <w:spacing w:val="-4"/>
        </w:rPr>
      </w:pPr>
      <w:r>
        <w:rPr>
          <w:spacing w:val="-4"/>
        </w:rPr>
        <w:t>4.</w:t>
      </w:r>
      <w:r w:rsidR="00204D91">
        <w:rPr>
          <w:spacing w:val="-4"/>
        </w:rPr>
        <w:t xml:space="preserve"> Xây dựng dự thảo: Tờ trình, Quyết định của UBND thành phố.</w:t>
      </w:r>
    </w:p>
    <w:p w:rsidR="00204D91" w:rsidRDefault="008156C8" w:rsidP="00A364C8">
      <w:pPr>
        <w:spacing w:line="259" w:lineRule="auto"/>
        <w:ind w:firstLine="720"/>
        <w:jc w:val="both"/>
        <w:rPr>
          <w:spacing w:val="-4"/>
        </w:rPr>
      </w:pPr>
      <w:r>
        <w:rPr>
          <w:spacing w:val="-4"/>
        </w:rPr>
        <w:t xml:space="preserve">5. </w:t>
      </w:r>
      <w:r w:rsidR="00204D91">
        <w:rPr>
          <w:spacing w:val="-4"/>
        </w:rPr>
        <w:t xml:space="preserve"> Đăng tải toàn văn dự thảo: Tờ trình, Quyết định của UBND thành phố trên Cổng thông tin điện tử thành phố để phổ biến, xin ý kiến rộng rãi toàn thể nhân dân trên địa bàn thành phố</w:t>
      </w:r>
      <w:r w:rsidR="00A776B9">
        <w:rPr>
          <w:spacing w:val="-4"/>
        </w:rPr>
        <w:t xml:space="preserve"> (Công văn số</w:t>
      </w:r>
      <w:r w:rsidR="000A782B">
        <w:rPr>
          <w:spacing w:val="-4"/>
        </w:rPr>
        <w:t xml:space="preserve">   </w:t>
      </w:r>
      <w:r w:rsidR="00A776B9">
        <w:rPr>
          <w:spacing w:val="-4"/>
        </w:rPr>
        <w:t xml:space="preserve">     /CAHP-PV01 ngày    /11/2025 của Công an thành phố).</w:t>
      </w:r>
    </w:p>
    <w:p w:rsidR="00A776B9" w:rsidRDefault="008156C8" w:rsidP="00A364C8">
      <w:pPr>
        <w:spacing w:line="259" w:lineRule="auto"/>
        <w:ind w:firstLine="720"/>
        <w:jc w:val="both"/>
        <w:rPr>
          <w:spacing w:val="-4"/>
        </w:rPr>
      </w:pPr>
      <w:r>
        <w:rPr>
          <w:spacing w:val="-4"/>
        </w:rPr>
        <w:t>6. X</w:t>
      </w:r>
      <w:r w:rsidR="00A776B9">
        <w:rPr>
          <w:spacing w:val="-4"/>
        </w:rPr>
        <w:t>in ý kiến phản biện xã hội của Ủy ban Mặt trận Tổ quốc Việt Nam thành phố; Tổ chức lấy ý kiến đóng góp của các sở, ban, ngành; cơ quan tổ chức theo ngành dọc đóng trên địa bàn thàn</w:t>
      </w:r>
      <w:r>
        <w:rPr>
          <w:spacing w:val="-4"/>
        </w:rPr>
        <w:t>h phố; UBND xã, phường, đặc khu.</w:t>
      </w:r>
    </w:p>
    <w:p w:rsidR="00A776B9" w:rsidRDefault="008156C8" w:rsidP="00A364C8">
      <w:pPr>
        <w:spacing w:line="259" w:lineRule="auto"/>
        <w:ind w:firstLine="720"/>
        <w:jc w:val="both"/>
        <w:rPr>
          <w:spacing w:val="-4"/>
        </w:rPr>
      </w:pPr>
      <w:r>
        <w:rPr>
          <w:spacing w:val="-4"/>
        </w:rPr>
        <w:lastRenderedPageBreak/>
        <w:t xml:space="preserve">7. </w:t>
      </w:r>
      <w:r w:rsidR="00A776B9">
        <w:rPr>
          <w:spacing w:val="-4"/>
        </w:rPr>
        <w:t>Tổng hợp ý kiến tham gia và nghiên cứu xây dựng bảng tiếp thu và giải trình ý kiến tham gia.</w:t>
      </w:r>
      <w:r w:rsidR="00AC5C76">
        <w:rPr>
          <w:spacing w:val="-4"/>
        </w:rPr>
        <w:t xml:space="preserve"> Xây dựng Công văn g</w:t>
      </w:r>
      <w:r w:rsidR="00A776B9">
        <w:rPr>
          <w:spacing w:val="-4"/>
        </w:rPr>
        <w:t xml:space="preserve">ửi Sở Tư pháp </w:t>
      </w:r>
      <w:r w:rsidR="00AC5C76">
        <w:rPr>
          <w:spacing w:val="-4"/>
        </w:rPr>
        <w:t xml:space="preserve">đề nghị </w:t>
      </w:r>
      <w:r w:rsidR="00A776B9">
        <w:rPr>
          <w:spacing w:val="-4"/>
        </w:rPr>
        <w:t>thẩm định dự thảo Quyết định</w:t>
      </w:r>
      <w:r w:rsidR="00AC5C76">
        <w:rPr>
          <w:spacing w:val="-4"/>
        </w:rPr>
        <w:t xml:space="preserve"> ( theo </w:t>
      </w:r>
      <w:r>
        <w:rPr>
          <w:spacing w:val="-4"/>
        </w:rPr>
        <w:t>Công văn số</w:t>
      </w:r>
      <w:r w:rsidR="000A782B">
        <w:rPr>
          <w:spacing w:val="-4"/>
        </w:rPr>
        <w:t xml:space="preserve">  </w:t>
      </w:r>
      <w:r>
        <w:rPr>
          <w:spacing w:val="-4"/>
        </w:rPr>
        <w:t xml:space="preserve">      </w:t>
      </w:r>
      <w:r w:rsidR="00E61C3D">
        <w:rPr>
          <w:spacing w:val="-4"/>
        </w:rPr>
        <w:t xml:space="preserve"> </w:t>
      </w:r>
      <w:r>
        <w:rPr>
          <w:spacing w:val="-4"/>
        </w:rPr>
        <w:t xml:space="preserve"> /CAHP-PV01 ngày    </w:t>
      </w:r>
      <w:r w:rsidR="000A782B">
        <w:rPr>
          <w:spacing w:val="-4"/>
        </w:rPr>
        <w:t xml:space="preserve">   </w:t>
      </w:r>
      <w:r>
        <w:rPr>
          <w:spacing w:val="-4"/>
        </w:rPr>
        <w:t>/11/2025</w:t>
      </w:r>
      <w:r w:rsidR="00AC5C76">
        <w:rPr>
          <w:spacing w:val="-4"/>
        </w:rPr>
        <w:t xml:space="preserve"> của CATP)</w:t>
      </w:r>
      <w:r>
        <w:rPr>
          <w:spacing w:val="-4"/>
        </w:rPr>
        <w:t>, Công an thành phố nghiên cứu, tiếp thu, giải trình, chỉnh lý lại dự thảo Quyết định theo quy định.</w:t>
      </w:r>
    </w:p>
    <w:p w:rsidR="008156C8" w:rsidRPr="00963375" w:rsidRDefault="008156C8" w:rsidP="00A364C8">
      <w:pPr>
        <w:spacing w:line="259" w:lineRule="auto"/>
        <w:ind w:firstLine="720"/>
        <w:jc w:val="both"/>
        <w:rPr>
          <w:b/>
          <w:spacing w:val="-4"/>
        </w:rPr>
      </w:pPr>
      <w:r w:rsidRPr="00963375">
        <w:rPr>
          <w:b/>
          <w:spacing w:val="-4"/>
        </w:rPr>
        <w:t>IV. BỐ CỤC, NỘI DUNG CƠ BẢN CỦA DỰ THẢO QUYẾT ĐỊNH</w:t>
      </w:r>
    </w:p>
    <w:p w:rsidR="00570105" w:rsidRPr="00963375" w:rsidRDefault="00963375" w:rsidP="00A364C8">
      <w:pPr>
        <w:spacing w:line="259" w:lineRule="auto"/>
        <w:ind w:firstLine="720"/>
        <w:jc w:val="both"/>
        <w:rPr>
          <w:b/>
          <w:spacing w:val="-4"/>
        </w:rPr>
      </w:pPr>
      <w:r w:rsidRPr="00963375">
        <w:rPr>
          <w:b/>
          <w:spacing w:val="-4"/>
        </w:rPr>
        <w:t>1. Phạm vi điều chỉnh, đối tượng áp dụng</w:t>
      </w:r>
    </w:p>
    <w:p w:rsidR="00963375" w:rsidRDefault="00963375" w:rsidP="00A364C8">
      <w:pPr>
        <w:spacing w:line="259" w:lineRule="auto"/>
        <w:ind w:firstLine="720"/>
        <w:jc w:val="both"/>
      </w:pPr>
      <w:r>
        <w:t xml:space="preserve">a) </w:t>
      </w:r>
      <w:r w:rsidR="00E50D84">
        <w:t xml:space="preserve">Phạm vi điều chỉnh: </w:t>
      </w:r>
      <w:r w:rsidRPr="00B12A25">
        <w:t xml:space="preserve">Quy định này quy định cụ thể về công tác bảo </w:t>
      </w:r>
      <w:r w:rsidR="00AC5C76">
        <w:t>vệ</w:t>
      </w:r>
      <w:r w:rsidRPr="00B12A25">
        <w:t xml:space="preserve"> an ninh, trật tự, an toàn tại trụ sở tiếp công dân của cơ quan Đảng, Nhà nước trên địa bàn thành phố Hải Phòng; trách nhiệm thực hiện và công tác phối hợp giữa các lực lượng tham gia làm nhiệm vụ bảo vệ an ninh, trật tự, an toàn tại trụ sở tiếp công dân của cơ quan Đảng, Nhà nước; nghĩa vụ chấp hành các quy định về an ninh, trật tự, an toàn của người đến khiếu nại, tố cáo, kiến nghị, phản ánh tại trụ sở tiếp công dân của các cơ quan Đảng, Nhà nước trên địa bàn thành phố Hải Phòng</w:t>
      </w:r>
      <w:r>
        <w:t>.</w:t>
      </w:r>
    </w:p>
    <w:p w:rsidR="00963375" w:rsidRDefault="00963375" w:rsidP="00A364C8">
      <w:pPr>
        <w:spacing w:line="259" w:lineRule="auto"/>
        <w:ind w:firstLine="720"/>
        <w:jc w:val="both"/>
      </w:pPr>
      <w:r>
        <w:t xml:space="preserve">b) </w:t>
      </w:r>
      <w:r w:rsidR="00E50D84">
        <w:t xml:space="preserve">Đối tượng áp dụng: </w:t>
      </w:r>
    </w:p>
    <w:p w:rsidR="00A364C8" w:rsidRDefault="00963375" w:rsidP="00A364C8">
      <w:pPr>
        <w:tabs>
          <w:tab w:val="center" w:pos="567"/>
          <w:tab w:val="left" w:pos="709"/>
        </w:tabs>
        <w:spacing w:line="259" w:lineRule="auto"/>
        <w:jc w:val="both"/>
      </w:pPr>
      <w:r>
        <w:tab/>
      </w:r>
      <w:r w:rsidR="00A364C8">
        <w:tab/>
        <w:t>-</w:t>
      </w:r>
      <w:r w:rsidR="00A364C8" w:rsidRPr="00B12A25">
        <w:t xml:space="preserve"> </w:t>
      </w:r>
      <w:r w:rsidR="00A364C8">
        <w:t>Các cơ quan, tổ chức, cá nhân có nhiệm vụ, quyền hạn tiếp công dân trên địa bàn thành phố Hải Phòng.</w:t>
      </w:r>
    </w:p>
    <w:p w:rsidR="00A364C8" w:rsidRPr="00B12A25" w:rsidRDefault="00A364C8" w:rsidP="00A364C8">
      <w:pPr>
        <w:tabs>
          <w:tab w:val="center" w:pos="567"/>
          <w:tab w:val="left" w:pos="709"/>
        </w:tabs>
        <w:spacing w:line="259" w:lineRule="auto"/>
        <w:jc w:val="both"/>
      </w:pPr>
      <w:r>
        <w:tab/>
      </w:r>
      <w:r>
        <w:tab/>
        <w:t>-</w:t>
      </w:r>
      <w:r w:rsidRPr="00B12A25">
        <w:t xml:space="preserve"> </w:t>
      </w:r>
      <w:r>
        <w:t>C</w:t>
      </w:r>
      <w:r w:rsidRPr="00B12A25">
        <w:t>ơ quan, người có thẩm quyền trong việc thực hiện công tác bảo vệ an ninh, trật tự, an toàn tại trụ sở tiếp công dân các cơ quan Đảng, Nhà nước trên địa bàn thành phố Hải Phòng.</w:t>
      </w:r>
    </w:p>
    <w:p w:rsidR="00A364C8" w:rsidRPr="00B12A25" w:rsidRDefault="00A364C8" w:rsidP="00A364C8">
      <w:pPr>
        <w:tabs>
          <w:tab w:val="center" w:pos="567"/>
          <w:tab w:val="left" w:pos="709"/>
        </w:tabs>
        <w:spacing w:line="259" w:lineRule="auto"/>
        <w:jc w:val="both"/>
      </w:pPr>
      <w:r>
        <w:tab/>
      </w:r>
      <w:r>
        <w:tab/>
        <w:t>-</w:t>
      </w:r>
      <w:r w:rsidRPr="00B12A25">
        <w:t xml:space="preserve"> Người </w:t>
      </w:r>
      <w:r>
        <w:t xml:space="preserve">đến </w:t>
      </w:r>
      <w:r w:rsidRPr="00B12A25">
        <w:t xml:space="preserve">khiếu nại, tố cáo, kiến nghị, phản ánh. </w:t>
      </w:r>
    </w:p>
    <w:p w:rsidR="00A364C8" w:rsidRPr="00D500CD" w:rsidRDefault="00A364C8" w:rsidP="00A364C8">
      <w:pPr>
        <w:tabs>
          <w:tab w:val="center" w:pos="567"/>
          <w:tab w:val="left" w:pos="709"/>
        </w:tabs>
        <w:spacing w:line="259" w:lineRule="auto"/>
        <w:jc w:val="both"/>
        <w:rPr>
          <w:sz w:val="20"/>
        </w:rPr>
      </w:pPr>
      <w:r>
        <w:tab/>
      </w:r>
      <w:r>
        <w:tab/>
        <w:t>-</w:t>
      </w:r>
      <w:r w:rsidRPr="00B12A25">
        <w:t xml:space="preserve"> Các cơ quan, tổ chức, cá nhân có liên quan đến công tác tiếp công dân.</w:t>
      </w:r>
    </w:p>
    <w:p w:rsidR="00963375" w:rsidRPr="00EB022B" w:rsidRDefault="00A364C8" w:rsidP="00A364C8">
      <w:pPr>
        <w:tabs>
          <w:tab w:val="center" w:pos="567"/>
          <w:tab w:val="left" w:pos="709"/>
        </w:tabs>
        <w:spacing w:line="259" w:lineRule="auto"/>
        <w:jc w:val="both"/>
        <w:rPr>
          <w:b/>
        </w:rPr>
      </w:pPr>
      <w:r>
        <w:rPr>
          <w:b/>
        </w:rPr>
        <w:tab/>
      </w:r>
      <w:r>
        <w:rPr>
          <w:b/>
        </w:rPr>
        <w:tab/>
      </w:r>
      <w:r w:rsidR="00963375" w:rsidRPr="00EB022B">
        <w:rPr>
          <w:b/>
        </w:rPr>
        <w:t>2. Bố cục của dự thảo Quyết định:</w:t>
      </w:r>
    </w:p>
    <w:p w:rsidR="00963375" w:rsidRDefault="00963375" w:rsidP="00A364C8">
      <w:pPr>
        <w:spacing w:line="259" w:lineRule="auto"/>
        <w:ind w:firstLine="720"/>
        <w:jc w:val="both"/>
      </w:pPr>
      <w:r>
        <w:t>Dự thảo được xây dựng dưới dạng Quyết định của Ủy ban nhân dân thành phố theo mẫu số 20 phụ lục III kèm theo Nghị định số 187/2025/NĐ-CP (Quyết định ban hành Quy định) gồm 02 phần:</w:t>
      </w:r>
    </w:p>
    <w:p w:rsidR="00963375" w:rsidRDefault="00963375" w:rsidP="00A364C8">
      <w:pPr>
        <w:spacing w:line="259" w:lineRule="auto"/>
        <w:ind w:firstLine="720"/>
        <w:jc w:val="both"/>
      </w:pPr>
      <w:r>
        <w:t xml:space="preserve">a) Phần thứ nhất: dự thảo Quyết định, gồm có 03 </w:t>
      </w:r>
      <w:r w:rsidR="006A2049">
        <w:t>Đ</w:t>
      </w:r>
      <w:r>
        <w:t>iều, nội dung cụ thể:</w:t>
      </w:r>
    </w:p>
    <w:p w:rsidR="00963375" w:rsidRDefault="00963375" w:rsidP="00A364C8">
      <w:pPr>
        <w:spacing w:line="259" w:lineRule="auto"/>
        <w:ind w:firstLine="720"/>
        <w:jc w:val="both"/>
      </w:pPr>
      <w:r w:rsidRPr="008D55A4">
        <w:rPr>
          <w:b/>
        </w:rPr>
        <w:t>Điều 1.</w:t>
      </w:r>
      <w:r>
        <w:t xml:space="preserve"> Ban hành kèm theo Quyết định này quy định về bảo vệ an ninh, trật tự, an toàn tại trụ sở tiếp công dân của các cơ quan Đảng, Nhà nước trên địa bàn thành phố Hải Phòng.</w:t>
      </w:r>
    </w:p>
    <w:p w:rsidR="00963375" w:rsidRDefault="00963375" w:rsidP="00A364C8">
      <w:pPr>
        <w:spacing w:line="259" w:lineRule="auto"/>
        <w:ind w:firstLine="720"/>
        <w:jc w:val="both"/>
      </w:pPr>
      <w:r w:rsidRPr="00BB7DEF">
        <w:rPr>
          <w:b/>
        </w:rPr>
        <w:t>Điều 2.</w:t>
      </w:r>
      <w:r>
        <w:t xml:space="preserve"> Quyết định này có hiệu lực kể từ ngày     tháng       năm 2025 và </w:t>
      </w:r>
      <w:r w:rsidR="00DF79BD">
        <w:t>bãi bỏ</w:t>
      </w:r>
      <w:r>
        <w:t xml:space="preserve"> Quyết định số 13/2015/QĐ-UBND ngày 24/7/20</w:t>
      </w:r>
      <w:r w:rsidR="008348F5">
        <w:t>1</w:t>
      </w:r>
      <w:r>
        <w:t>5 của Ủy ban nhân dân tỉnh Hải Dươn</w:t>
      </w:r>
      <w:r w:rsidR="00DF79BD">
        <w:t>g</w:t>
      </w:r>
      <w:r>
        <w:t xml:space="preserve"> ban hành Quy định về bảo vệ an ninh, trật tự, an toàn tại trụ sở tiếp công dân của các cơ quan Đảng, Nhà nước trên địa bàn tỉnh Hải Dương.</w:t>
      </w:r>
    </w:p>
    <w:p w:rsidR="00963375" w:rsidRDefault="00963375" w:rsidP="00A364C8">
      <w:pPr>
        <w:spacing w:line="259" w:lineRule="auto"/>
        <w:ind w:firstLine="720"/>
        <w:jc w:val="both"/>
      </w:pPr>
      <w:r w:rsidRPr="008D55A4">
        <w:rPr>
          <w:b/>
        </w:rPr>
        <w:t>Điều 3.</w:t>
      </w:r>
      <w:r>
        <w:t xml:space="preserve"> Chánh Văn phòng Ủy ban nhân dân thành phố; Giám đốc Công an thành phố; </w:t>
      </w:r>
      <w:r w:rsidR="00A364C8">
        <w:t xml:space="preserve">Giám đốc các Sở; </w:t>
      </w:r>
      <w:r>
        <w:t>Thủ trưởng các ban, ngành thuộc thành phố; Chủ tịch Ủy ban nhân dân các xã, phường, đặc khu; các cơ quan, tổ chức, cá nhân có liên quan chịu trách nhiệm thi hành quyết định này.</w:t>
      </w:r>
    </w:p>
    <w:p w:rsidR="00963375" w:rsidRDefault="00963375" w:rsidP="00A364C8">
      <w:pPr>
        <w:spacing w:line="259" w:lineRule="auto"/>
        <w:ind w:firstLine="720"/>
        <w:jc w:val="both"/>
      </w:pPr>
      <w:r>
        <w:t xml:space="preserve">b) Phần thứ hai: Dự thảo Quy định, gồm 3 </w:t>
      </w:r>
      <w:r w:rsidR="006A2049">
        <w:t>C</w:t>
      </w:r>
      <w:r>
        <w:t xml:space="preserve">hương, 13 </w:t>
      </w:r>
      <w:r w:rsidR="006A2049">
        <w:t>Đ</w:t>
      </w:r>
      <w:r>
        <w:t>iều, cụ thể:</w:t>
      </w:r>
    </w:p>
    <w:p w:rsidR="00E50D84" w:rsidRDefault="00963375" w:rsidP="00A364C8">
      <w:pPr>
        <w:spacing w:line="259" w:lineRule="auto"/>
        <w:ind w:firstLine="720"/>
        <w:jc w:val="both"/>
      </w:pPr>
      <w:r>
        <w:lastRenderedPageBreak/>
        <w:t xml:space="preserve">- Chương I: Quy định chung. Nội dung cơ bản gồm: </w:t>
      </w:r>
      <w:r w:rsidR="006A2049">
        <w:t xml:space="preserve">02 Điều (Điều 1 và Điều 2) trong đó, </w:t>
      </w:r>
      <w:r w:rsidR="00E50D84">
        <w:t>quy định về phạm v</w:t>
      </w:r>
      <w:r w:rsidR="006A2049">
        <w:t>i điều chỉnh, đối tượng áp dụng</w:t>
      </w:r>
      <w:r w:rsidR="0062204C">
        <w:t>.</w:t>
      </w:r>
    </w:p>
    <w:p w:rsidR="006A2049" w:rsidRDefault="006A2049" w:rsidP="00A364C8">
      <w:pPr>
        <w:tabs>
          <w:tab w:val="left" w:pos="709"/>
        </w:tabs>
        <w:spacing w:line="259" w:lineRule="auto"/>
        <w:jc w:val="both"/>
      </w:pPr>
      <w:r>
        <w:tab/>
        <w:t xml:space="preserve">- </w:t>
      </w:r>
      <w:r w:rsidR="00E50D84">
        <w:t>Chương II. Những quy định cụ thể</w:t>
      </w:r>
      <w:r>
        <w:t xml:space="preserve">, gồm: 10 Điều (Từ Điều 3 đến Điều 12), trong đó, quy định cụ thể: </w:t>
      </w:r>
      <w:r w:rsidRPr="006A2049">
        <w:t xml:space="preserve">Công tác bảo vệ an ninh, trật tự, an toàn tại trụ sở tiếp công dân của các cơ quan Đảng, Nhà nước trên địa bàn thành phố Hải Phòng; Các biện pháp bảo vệ an ninh, trật tự, an toàn tại khu vực </w:t>
      </w:r>
      <w:r w:rsidR="00A364C8">
        <w:t xml:space="preserve">trụ sở </w:t>
      </w:r>
      <w:r w:rsidRPr="006A2049">
        <w:t xml:space="preserve">tiếp công dân của các cơ quan; Trách nhiệm của lực lượng Công an trong công tác bảo vệ an ninh, trật tự, an toàn khu vực trụ sở tiếp công dân của các cơ quan Đảng, Nhà nước; Trách nhiệm của Ban Tiếp công dân thành phố; Trách nhiệm của các cơ quan được giao quản lý trụ sở tiếp công dân cơ quan Đảng, Nhà nước; </w:t>
      </w:r>
      <w:r w:rsidRPr="006A2049">
        <w:rPr>
          <w:spacing w:val="-4"/>
        </w:rPr>
        <w:t xml:space="preserve">Trách nhiệm của các Sở, ban, ngành có liên quan trong công tác bảo đảm an ninh, trật tự, an toàn </w:t>
      </w:r>
      <w:r w:rsidR="00A364C8">
        <w:rPr>
          <w:spacing w:val="-4"/>
        </w:rPr>
        <w:t>khu vực</w:t>
      </w:r>
      <w:r w:rsidRPr="006A2049">
        <w:rPr>
          <w:spacing w:val="-4"/>
        </w:rPr>
        <w:t xml:space="preserve"> trụ sở tiếp công dân của các cơ quan Đảng, Nhà nước; </w:t>
      </w:r>
      <w:r w:rsidRPr="006A2049">
        <w:t xml:space="preserve">Trách nhiệm của UBND xã, phường, đặc khu; </w:t>
      </w:r>
      <w:r w:rsidRPr="006A2049">
        <w:rPr>
          <w:spacing w:val="-4"/>
        </w:rPr>
        <w:t xml:space="preserve">Trách nhiệm chấp hành các quy định về an ninh, trật tự, an toàn của công dân tại nơi tiếp công dân; </w:t>
      </w:r>
      <w:r w:rsidRPr="006A2049">
        <w:t>Chế độ thông tin, báo cáo; Kinh phí thực hiện.</w:t>
      </w:r>
    </w:p>
    <w:p w:rsidR="00E50D84" w:rsidRDefault="006A2049" w:rsidP="00A364C8">
      <w:pPr>
        <w:spacing w:line="259" w:lineRule="auto"/>
        <w:ind w:firstLine="720"/>
        <w:jc w:val="both"/>
      </w:pPr>
      <w:r>
        <w:t xml:space="preserve">- </w:t>
      </w:r>
      <w:r w:rsidR="00E50D84">
        <w:t>Chương III. Tổ chức thực hiện</w:t>
      </w:r>
      <w:r w:rsidR="00A364C8">
        <w:t>: 01 Điều</w:t>
      </w:r>
      <w:r w:rsidR="00E50D84">
        <w:t xml:space="preserve"> (</w:t>
      </w:r>
      <w:r>
        <w:t>Điều 13</w:t>
      </w:r>
      <w:r w:rsidR="009B7343">
        <w:t>)</w:t>
      </w:r>
      <w:r w:rsidR="006D184C">
        <w:t>, trong đó, quy định trách nhiệm của các cơ quan, tổ chức, cá nhân và của Công an thành phố</w:t>
      </w:r>
      <w:r w:rsidR="009B7343">
        <w:t>.</w:t>
      </w:r>
    </w:p>
    <w:p w:rsidR="006D184C" w:rsidRPr="004F2CCA" w:rsidRDefault="006D184C" w:rsidP="00A364C8">
      <w:pPr>
        <w:spacing w:line="259" w:lineRule="auto"/>
        <w:ind w:firstLine="720"/>
        <w:jc w:val="both"/>
        <w:rPr>
          <w:b/>
        </w:rPr>
      </w:pPr>
      <w:r w:rsidRPr="004F2CCA">
        <w:rPr>
          <w:b/>
        </w:rPr>
        <w:t>V. DỰ KIẾN NGUỒN LỰC, ĐIỀU KIỆN BẢO ĐẢM CHO VIỆC THI HÀNH QUYẾT ĐỊNH VÀ THỜI GIAN TRÌNH BAN HÀNH</w:t>
      </w:r>
    </w:p>
    <w:p w:rsidR="004F2CCA" w:rsidRDefault="004F2CCA" w:rsidP="00A364C8">
      <w:pPr>
        <w:spacing w:line="259" w:lineRule="auto"/>
        <w:ind w:firstLine="720"/>
        <w:jc w:val="both"/>
      </w:pPr>
      <w:r w:rsidRPr="004F2CCA">
        <w:rPr>
          <w:b/>
        </w:rPr>
        <w:t>1.</w:t>
      </w:r>
      <w:r>
        <w:t xml:space="preserve"> Nội dung dự thảo Quyết định có sự kế thừa Quyết định số 13/2015/QĐ-UBND ngày 24/7/2015 của UBND tỉnh Hải Dương (cũ), đồng thời, khắc phục một số hạn chế; sửa đổi, bổ sung một số quy định để bảo đảm phù hợp với quy định của pháp luật hiện hành, các văn bản quy phạm pháp luật khác có liên quan và những thay đổi trong tổ chức bộ máy. Những quy định trong dự thảo về cơ bản không làm phát sinh thêm các yêu cầu phải đáp ứng nguồn lực về tài chính và nhân lực mà chỉ sử dụng nguồn lực, bộ máy tổ chức hiện có để triển khai thực hiện Quy định sau khi có hiệu lực thi hành.</w:t>
      </w:r>
    </w:p>
    <w:p w:rsidR="004F2CCA" w:rsidRDefault="004F2CCA" w:rsidP="00A364C8">
      <w:pPr>
        <w:spacing w:line="259" w:lineRule="auto"/>
        <w:ind w:firstLine="720"/>
        <w:jc w:val="both"/>
      </w:pPr>
      <w:r w:rsidRPr="004F2CCA">
        <w:rPr>
          <w:b/>
        </w:rPr>
        <w:t>2.</w:t>
      </w:r>
      <w:r>
        <w:t xml:space="preserve"> Về dự kiến thời gian trình ban hành: Tháng 12/2025.</w:t>
      </w:r>
    </w:p>
    <w:p w:rsidR="004F2CCA" w:rsidRDefault="004F2CCA" w:rsidP="00A364C8">
      <w:pPr>
        <w:spacing w:line="259" w:lineRule="auto"/>
        <w:ind w:firstLine="720"/>
        <w:jc w:val="both"/>
      </w:pPr>
      <w:r>
        <w:t xml:space="preserve">Trên đây là Tờ trình dự thảo Quyết định ban hành Quy định về bảo </w:t>
      </w:r>
      <w:r w:rsidR="00AC5C76">
        <w:t>vệ</w:t>
      </w:r>
      <w:r>
        <w:t xml:space="preserve"> an ninh, trật tự, an toàn trụ sở tiếp công dân của các cơ quan Đảng, Nhà nước trên địa bàn thành phố Hải Phòng, Công an thành phố xin kính trình Ủy ban nhân dân thành phố xem xét, quyết định./.</w:t>
      </w:r>
    </w:p>
    <w:p w:rsidR="004F2CCA" w:rsidRDefault="004F2CCA" w:rsidP="00A364C8">
      <w:pPr>
        <w:spacing w:line="259" w:lineRule="auto"/>
        <w:ind w:firstLine="720"/>
        <w:jc w:val="both"/>
      </w:pPr>
      <w:r w:rsidRPr="004F2CCA">
        <w:rPr>
          <w:i/>
        </w:rPr>
        <w:t>(Xin gửi kèm theo: (1) Dự thảo Quyết định; (2) Báo cáo tổng kết việc thi hành Quyết định số 13/2015/QĐ-</w:t>
      </w:r>
      <w:r w:rsidR="00AC5C76">
        <w:rPr>
          <w:i/>
        </w:rPr>
        <w:t xml:space="preserve">UBND ngày 24/7/2015; (3) Bản so </w:t>
      </w:r>
      <w:r w:rsidRPr="004F2CCA">
        <w:rPr>
          <w:i/>
        </w:rPr>
        <w:t>sánh, thuyết minh nội dung dự thảo)</w:t>
      </w:r>
      <w:r>
        <w:t xml:space="preserve">. </w:t>
      </w:r>
    </w:p>
    <w:p w:rsidR="00257308" w:rsidRPr="003562B1" w:rsidRDefault="00257308" w:rsidP="00257308">
      <w:pPr>
        <w:pStyle w:val="NormalWeb"/>
        <w:shd w:val="clear" w:color="auto" w:fill="FFFFFF"/>
        <w:spacing w:before="0" w:beforeAutospacing="0" w:after="0" w:afterAutospacing="0" w:line="274" w:lineRule="auto"/>
        <w:ind w:firstLine="720"/>
        <w:jc w:val="both"/>
        <w:rPr>
          <w:color w:val="000000"/>
          <w:sz w:val="6"/>
          <w:szCs w:val="28"/>
        </w:rPr>
      </w:pPr>
    </w:p>
    <w:p w:rsidR="00257308" w:rsidRDefault="00257308" w:rsidP="00257308">
      <w:pPr>
        <w:spacing w:line="288" w:lineRule="auto"/>
        <w:ind w:firstLine="720"/>
        <w:jc w:val="both"/>
        <w:rPr>
          <w:spacing w:val="-2"/>
          <w:sz w:val="2"/>
        </w:rPr>
      </w:pPr>
    </w:p>
    <w:tbl>
      <w:tblPr>
        <w:tblW w:w="9180" w:type="dxa"/>
        <w:tblLook w:val="01E0"/>
      </w:tblPr>
      <w:tblGrid>
        <w:gridCol w:w="4928"/>
        <w:gridCol w:w="4252"/>
      </w:tblGrid>
      <w:tr w:rsidR="00257308" w:rsidTr="009D4670">
        <w:tc>
          <w:tcPr>
            <w:tcW w:w="4928" w:type="dxa"/>
            <w:hideMark/>
          </w:tcPr>
          <w:p w:rsidR="00257308" w:rsidRDefault="00257308" w:rsidP="009D4670">
            <w:pPr>
              <w:jc w:val="both"/>
              <w:rPr>
                <w:b/>
                <w:i/>
                <w:sz w:val="24"/>
              </w:rPr>
            </w:pPr>
            <w:r>
              <w:rPr>
                <w:b/>
                <w:i/>
                <w:sz w:val="24"/>
              </w:rPr>
              <w:t>Nơi nhận:</w:t>
            </w:r>
          </w:p>
          <w:p w:rsidR="00257308" w:rsidRDefault="00257308" w:rsidP="009D4670">
            <w:pPr>
              <w:jc w:val="both"/>
              <w:rPr>
                <w:sz w:val="22"/>
                <w:szCs w:val="22"/>
              </w:rPr>
            </w:pPr>
            <w:r w:rsidRPr="00923668">
              <w:rPr>
                <w:sz w:val="22"/>
                <w:szCs w:val="22"/>
              </w:rPr>
              <w:t xml:space="preserve">- </w:t>
            </w:r>
            <w:r>
              <w:rPr>
                <w:sz w:val="22"/>
                <w:szCs w:val="22"/>
              </w:rPr>
              <w:t>Như trên</w:t>
            </w:r>
            <w:r w:rsidRPr="00190DA1">
              <w:rPr>
                <w:sz w:val="22"/>
                <w:szCs w:val="22"/>
              </w:rPr>
              <w:t>;</w:t>
            </w:r>
          </w:p>
          <w:p w:rsidR="00C84AD2" w:rsidRDefault="00C84AD2" w:rsidP="009D4670">
            <w:pPr>
              <w:jc w:val="both"/>
              <w:rPr>
                <w:sz w:val="22"/>
                <w:szCs w:val="22"/>
              </w:rPr>
            </w:pPr>
            <w:r>
              <w:rPr>
                <w:sz w:val="22"/>
                <w:szCs w:val="22"/>
              </w:rPr>
              <w:t>- Sở Tư pháp;</w:t>
            </w:r>
          </w:p>
          <w:p w:rsidR="00C84AD2" w:rsidRDefault="00C84AD2" w:rsidP="009D4670">
            <w:pPr>
              <w:jc w:val="both"/>
              <w:rPr>
                <w:sz w:val="22"/>
                <w:szCs w:val="22"/>
              </w:rPr>
            </w:pPr>
            <w:r>
              <w:rPr>
                <w:sz w:val="22"/>
                <w:szCs w:val="22"/>
              </w:rPr>
              <w:t xml:space="preserve">- </w:t>
            </w:r>
            <w:r w:rsidR="004F2CCA">
              <w:rPr>
                <w:sz w:val="22"/>
                <w:szCs w:val="22"/>
              </w:rPr>
              <w:t>Đ/c Giám đốc CATP</w:t>
            </w:r>
            <w:r w:rsidR="00D100AF">
              <w:rPr>
                <w:sz w:val="22"/>
                <w:szCs w:val="22"/>
              </w:rPr>
              <w:t>;</w:t>
            </w:r>
          </w:p>
          <w:p w:rsidR="00257308" w:rsidRPr="00190DA1" w:rsidRDefault="00257308" w:rsidP="009D4670">
            <w:pPr>
              <w:jc w:val="both"/>
              <w:rPr>
                <w:sz w:val="22"/>
                <w:szCs w:val="22"/>
              </w:rPr>
            </w:pPr>
            <w:r w:rsidRPr="00190DA1">
              <w:rPr>
                <w:sz w:val="22"/>
                <w:szCs w:val="22"/>
              </w:rPr>
              <w:t xml:space="preserve">- Lưu: </w:t>
            </w:r>
            <w:r w:rsidR="00C84AD2">
              <w:rPr>
                <w:sz w:val="22"/>
                <w:szCs w:val="22"/>
              </w:rPr>
              <w:t>VT</w:t>
            </w:r>
            <w:r w:rsidR="004F2CCA">
              <w:rPr>
                <w:sz w:val="22"/>
                <w:szCs w:val="22"/>
              </w:rPr>
              <w:t>, PV01</w:t>
            </w:r>
            <w:r w:rsidRPr="00190DA1">
              <w:rPr>
                <w:sz w:val="22"/>
                <w:szCs w:val="22"/>
              </w:rPr>
              <w:t>.</w:t>
            </w:r>
          </w:p>
          <w:p w:rsidR="00257308" w:rsidRPr="00181AB1" w:rsidRDefault="00257308" w:rsidP="009D4670"/>
        </w:tc>
        <w:tc>
          <w:tcPr>
            <w:tcW w:w="4252" w:type="dxa"/>
          </w:tcPr>
          <w:p w:rsidR="00257308" w:rsidRDefault="004F2CCA" w:rsidP="009D4670">
            <w:pPr>
              <w:jc w:val="center"/>
              <w:rPr>
                <w:b/>
              </w:rPr>
            </w:pPr>
            <w:r>
              <w:rPr>
                <w:b/>
              </w:rPr>
              <w:t xml:space="preserve">KT. </w:t>
            </w:r>
            <w:r w:rsidR="00257308">
              <w:rPr>
                <w:b/>
              </w:rPr>
              <w:t>GIÁM ĐỐC</w:t>
            </w:r>
          </w:p>
          <w:p w:rsidR="00257308" w:rsidRDefault="004F2CCA" w:rsidP="008348F5">
            <w:pPr>
              <w:jc w:val="center"/>
              <w:rPr>
                <w:b/>
              </w:rPr>
            </w:pPr>
            <w:r>
              <w:rPr>
                <w:b/>
              </w:rPr>
              <w:t>PHÓ GIÁM ĐỐC</w:t>
            </w:r>
          </w:p>
          <w:p w:rsidR="008348F5" w:rsidRPr="008348F5" w:rsidRDefault="008348F5" w:rsidP="008348F5">
            <w:pPr>
              <w:jc w:val="center"/>
              <w:rPr>
                <w:b/>
                <w:sz w:val="82"/>
              </w:rPr>
            </w:pPr>
          </w:p>
          <w:p w:rsidR="00257308" w:rsidRPr="00A764E0" w:rsidRDefault="00257308" w:rsidP="009D4670">
            <w:pPr>
              <w:spacing w:before="120"/>
              <w:rPr>
                <w:sz w:val="4"/>
              </w:rPr>
            </w:pPr>
          </w:p>
          <w:p w:rsidR="00257308" w:rsidRDefault="004F2CCA" w:rsidP="00E737AB">
            <w:pPr>
              <w:spacing w:before="120"/>
              <w:jc w:val="center"/>
              <w:rPr>
                <w:b/>
              </w:rPr>
            </w:pPr>
            <w:r>
              <w:rPr>
                <w:b/>
              </w:rPr>
              <w:t>Đại tá Nguyễn Đức Thìn</w:t>
            </w:r>
          </w:p>
        </w:tc>
      </w:tr>
    </w:tbl>
    <w:p w:rsidR="009F1C8B" w:rsidRPr="00C64382" w:rsidRDefault="009F1C8B" w:rsidP="00706AC2">
      <w:pPr>
        <w:tabs>
          <w:tab w:val="center" w:pos="4536"/>
          <w:tab w:val="left" w:pos="6375"/>
        </w:tabs>
        <w:spacing w:line="288" w:lineRule="auto"/>
        <w:jc w:val="both"/>
        <w:rPr>
          <w:i/>
          <w:sz w:val="2"/>
        </w:rPr>
      </w:pPr>
    </w:p>
    <w:p w:rsidR="00F74034" w:rsidRDefault="00F74034" w:rsidP="00706AC2">
      <w:pPr>
        <w:tabs>
          <w:tab w:val="center" w:pos="4536"/>
          <w:tab w:val="left" w:pos="6375"/>
        </w:tabs>
        <w:spacing w:line="288" w:lineRule="auto"/>
        <w:jc w:val="center"/>
        <w:rPr>
          <w:b/>
        </w:rPr>
      </w:pPr>
    </w:p>
    <w:p w:rsidR="00F74034" w:rsidRDefault="00F74034" w:rsidP="00706AC2">
      <w:pPr>
        <w:tabs>
          <w:tab w:val="center" w:pos="4536"/>
          <w:tab w:val="left" w:pos="6375"/>
        </w:tabs>
        <w:spacing w:line="288" w:lineRule="auto"/>
        <w:jc w:val="center"/>
        <w:rPr>
          <w:b/>
        </w:rPr>
      </w:pPr>
    </w:p>
    <w:p w:rsidR="00F74034" w:rsidRDefault="00F74034" w:rsidP="00706AC2">
      <w:pPr>
        <w:tabs>
          <w:tab w:val="center" w:pos="4536"/>
          <w:tab w:val="left" w:pos="6375"/>
        </w:tabs>
        <w:spacing w:line="288" w:lineRule="auto"/>
        <w:jc w:val="center"/>
        <w:rPr>
          <w:b/>
        </w:rPr>
      </w:pPr>
    </w:p>
    <w:p w:rsidR="00F74034" w:rsidRDefault="00F74034" w:rsidP="00706AC2">
      <w:pPr>
        <w:tabs>
          <w:tab w:val="center" w:pos="4536"/>
          <w:tab w:val="left" w:pos="6375"/>
        </w:tabs>
        <w:spacing w:line="288" w:lineRule="auto"/>
        <w:jc w:val="center"/>
        <w:rPr>
          <w:b/>
        </w:rPr>
      </w:pPr>
    </w:p>
    <w:p w:rsidR="008A52EC" w:rsidRDefault="008A52EC" w:rsidP="00706AC2">
      <w:pPr>
        <w:tabs>
          <w:tab w:val="center" w:pos="4536"/>
          <w:tab w:val="left" w:pos="6375"/>
        </w:tabs>
        <w:spacing w:line="288" w:lineRule="auto"/>
        <w:jc w:val="center"/>
        <w:rPr>
          <w:b/>
        </w:rPr>
      </w:pPr>
    </w:p>
    <w:p w:rsidR="008A52EC" w:rsidRDefault="008A52EC" w:rsidP="00706AC2">
      <w:pPr>
        <w:tabs>
          <w:tab w:val="center" w:pos="4536"/>
          <w:tab w:val="left" w:pos="6375"/>
        </w:tabs>
        <w:spacing w:line="288" w:lineRule="auto"/>
        <w:jc w:val="center"/>
        <w:rPr>
          <w:b/>
        </w:rPr>
      </w:pPr>
    </w:p>
    <w:p w:rsidR="008A52EC" w:rsidRDefault="008A52EC" w:rsidP="00706AC2">
      <w:pPr>
        <w:tabs>
          <w:tab w:val="center" w:pos="4536"/>
          <w:tab w:val="left" w:pos="6375"/>
        </w:tabs>
        <w:spacing w:line="288" w:lineRule="auto"/>
        <w:jc w:val="center"/>
        <w:rPr>
          <w:b/>
        </w:rPr>
      </w:pPr>
    </w:p>
    <w:p w:rsidR="008A52EC" w:rsidRDefault="008A52EC" w:rsidP="00706AC2">
      <w:pPr>
        <w:tabs>
          <w:tab w:val="center" w:pos="4536"/>
          <w:tab w:val="left" w:pos="6375"/>
        </w:tabs>
        <w:spacing w:line="288" w:lineRule="auto"/>
        <w:jc w:val="center"/>
        <w:rPr>
          <w:b/>
        </w:rPr>
      </w:pPr>
    </w:p>
    <w:p w:rsidR="008A52EC" w:rsidRDefault="008A52EC" w:rsidP="00706AC2">
      <w:pPr>
        <w:tabs>
          <w:tab w:val="center" w:pos="4536"/>
          <w:tab w:val="left" w:pos="6375"/>
        </w:tabs>
        <w:spacing w:line="288" w:lineRule="auto"/>
        <w:jc w:val="center"/>
        <w:rPr>
          <w:b/>
        </w:rPr>
      </w:pPr>
    </w:p>
    <w:p w:rsidR="008A52EC" w:rsidRDefault="008A52EC" w:rsidP="00706AC2">
      <w:pPr>
        <w:tabs>
          <w:tab w:val="center" w:pos="4536"/>
          <w:tab w:val="left" w:pos="6375"/>
        </w:tabs>
        <w:spacing w:line="288" w:lineRule="auto"/>
        <w:jc w:val="center"/>
        <w:rPr>
          <w:b/>
        </w:rPr>
      </w:pPr>
    </w:p>
    <w:p w:rsidR="008A52EC" w:rsidRDefault="008A52EC" w:rsidP="00706AC2">
      <w:pPr>
        <w:tabs>
          <w:tab w:val="center" w:pos="4536"/>
          <w:tab w:val="left" w:pos="6375"/>
        </w:tabs>
        <w:spacing w:line="288" w:lineRule="auto"/>
        <w:jc w:val="center"/>
        <w:rPr>
          <w:b/>
        </w:rPr>
      </w:pPr>
    </w:p>
    <w:p w:rsidR="00DE1E76" w:rsidRDefault="00DE1E76" w:rsidP="00706AC2">
      <w:pPr>
        <w:tabs>
          <w:tab w:val="center" w:pos="4536"/>
          <w:tab w:val="left" w:pos="6375"/>
        </w:tabs>
        <w:spacing w:line="288" w:lineRule="auto"/>
        <w:jc w:val="center"/>
        <w:rPr>
          <w:b/>
        </w:rPr>
        <w:sectPr w:rsidR="00DE1E76" w:rsidSect="00062C8F">
          <w:headerReference w:type="default" r:id="rId8"/>
          <w:headerReference w:type="first" r:id="rId9"/>
          <w:pgSz w:w="11907" w:h="16840" w:code="9"/>
          <w:pgMar w:top="1134" w:right="1134" w:bottom="1134" w:left="1701" w:header="720" w:footer="720" w:gutter="0"/>
          <w:cols w:space="720"/>
          <w:titlePg/>
          <w:docGrid w:linePitch="381"/>
        </w:sectPr>
      </w:pPr>
    </w:p>
    <w:p w:rsidR="00F74034" w:rsidRDefault="00F74034" w:rsidP="00706AC2">
      <w:pPr>
        <w:tabs>
          <w:tab w:val="center" w:pos="4536"/>
          <w:tab w:val="left" w:pos="6375"/>
        </w:tabs>
        <w:spacing w:line="288" w:lineRule="auto"/>
        <w:jc w:val="center"/>
        <w:rPr>
          <w:b/>
        </w:rPr>
      </w:pPr>
    </w:p>
    <w:sectPr w:rsidR="00F74034" w:rsidSect="00DE1E76">
      <w:pgSz w:w="16840" w:h="11907" w:orient="landscape" w:code="9"/>
      <w:pgMar w:top="624" w:right="851" w:bottom="737" w:left="1134"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26CF" w:rsidRDefault="00CE26CF" w:rsidP="001072D9">
      <w:r>
        <w:separator/>
      </w:r>
    </w:p>
  </w:endnote>
  <w:endnote w:type="continuationSeparator" w:id="0">
    <w:p w:rsidR="00CE26CF" w:rsidRDefault="00CE26CF" w:rsidP="001072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26CF" w:rsidRDefault="00CE26CF" w:rsidP="001072D9">
      <w:r>
        <w:separator/>
      </w:r>
    </w:p>
  </w:footnote>
  <w:footnote w:type="continuationSeparator" w:id="0">
    <w:p w:rsidR="00CE26CF" w:rsidRDefault="00CE26CF" w:rsidP="001072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5023870"/>
      <w:docPartObj>
        <w:docPartGallery w:val="Page Numbers (Top of Page)"/>
        <w:docPartUnique/>
      </w:docPartObj>
    </w:sdtPr>
    <w:sdtContent>
      <w:p w:rsidR="00EB022B" w:rsidRDefault="00EB022B">
        <w:pPr>
          <w:pStyle w:val="Header"/>
          <w:jc w:val="center"/>
        </w:pPr>
        <w:fldSimple w:instr=" PAGE   \* MERGEFORMAT ">
          <w:r w:rsidR="008348F5">
            <w:rPr>
              <w:noProof/>
            </w:rPr>
            <w:t>2</w:t>
          </w:r>
        </w:fldSimple>
      </w:p>
    </w:sdtContent>
  </w:sdt>
  <w:p w:rsidR="00EB022B" w:rsidRPr="00062C8F" w:rsidRDefault="00EB022B">
    <w:pPr>
      <w:pStyle w:val="Header"/>
      <w:rPr>
        <w:sz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22B" w:rsidRDefault="00EB022B">
    <w:pPr>
      <w:pStyle w:val="Header"/>
      <w:jc w:val="center"/>
    </w:pPr>
  </w:p>
  <w:p w:rsidR="00EB022B" w:rsidRPr="00062C8F" w:rsidRDefault="00EB022B">
    <w:pPr>
      <w:pStyle w:val="Header"/>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A81D35"/>
    <w:multiLevelType w:val="hybridMultilevel"/>
    <w:tmpl w:val="CC288E28"/>
    <w:lvl w:ilvl="0" w:tplc="FF50242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D221D6E"/>
    <w:multiLevelType w:val="hybridMultilevel"/>
    <w:tmpl w:val="651A3600"/>
    <w:lvl w:ilvl="0" w:tplc="B638013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rsids>
    <w:rsidRoot w:val="005446CD"/>
    <w:rsid w:val="00007A4F"/>
    <w:rsid w:val="00010CEE"/>
    <w:rsid w:val="00011414"/>
    <w:rsid w:val="00013C32"/>
    <w:rsid w:val="00013E59"/>
    <w:rsid w:val="00016A21"/>
    <w:rsid w:val="00025B6B"/>
    <w:rsid w:val="000329BD"/>
    <w:rsid w:val="00033627"/>
    <w:rsid w:val="00041427"/>
    <w:rsid w:val="00052DD0"/>
    <w:rsid w:val="00062C8F"/>
    <w:rsid w:val="00063702"/>
    <w:rsid w:val="0006373E"/>
    <w:rsid w:val="0006390C"/>
    <w:rsid w:val="00063BE3"/>
    <w:rsid w:val="0006522B"/>
    <w:rsid w:val="00067DD8"/>
    <w:rsid w:val="0007586C"/>
    <w:rsid w:val="000825CF"/>
    <w:rsid w:val="0008334C"/>
    <w:rsid w:val="00083E66"/>
    <w:rsid w:val="000A31E0"/>
    <w:rsid w:val="000A782B"/>
    <w:rsid w:val="000B127C"/>
    <w:rsid w:val="000B785D"/>
    <w:rsid w:val="000C435B"/>
    <w:rsid w:val="000D6EF4"/>
    <w:rsid w:val="000E06B6"/>
    <w:rsid w:val="000E50C2"/>
    <w:rsid w:val="000E5CF8"/>
    <w:rsid w:val="000F7F57"/>
    <w:rsid w:val="001022EB"/>
    <w:rsid w:val="00102903"/>
    <w:rsid w:val="001031AD"/>
    <w:rsid w:val="00104258"/>
    <w:rsid w:val="00105B67"/>
    <w:rsid w:val="001072D9"/>
    <w:rsid w:val="00112FE8"/>
    <w:rsid w:val="0011581B"/>
    <w:rsid w:val="00117EB8"/>
    <w:rsid w:val="001209D8"/>
    <w:rsid w:val="00126B46"/>
    <w:rsid w:val="00130414"/>
    <w:rsid w:val="00131A8E"/>
    <w:rsid w:val="00136650"/>
    <w:rsid w:val="00136C36"/>
    <w:rsid w:val="001437AF"/>
    <w:rsid w:val="00146441"/>
    <w:rsid w:val="00163AB8"/>
    <w:rsid w:val="00163E0A"/>
    <w:rsid w:val="0016614D"/>
    <w:rsid w:val="00170384"/>
    <w:rsid w:val="00181AB1"/>
    <w:rsid w:val="0018597C"/>
    <w:rsid w:val="001859DA"/>
    <w:rsid w:val="00185D29"/>
    <w:rsid w:val="00187511"/>
    <w:rsid w:val="0019064C"/>
    <w:rsid w:val="00190DA1"/>
    <w:rsid w:val="00193C6A"/>
    <w:rsid w:val="001947D0"/>
    <w:rsid w:val="001A1012"/>
    <w:rsid w:val="001A1425"/>
    <w:rsid w:val="001A1DC4"/>
    <w:rsid w:val="001B35E6"/>
    <w:rsid w:val="001B3997"/>
    <w:rsid w:val="001B4A68"/>
    <w:rsid w:val="001C59B9"/>
    <w:rsid w:val="001D2FDA"/>
    <w:rsid w:val="001D3C53"/>
    <w:rsid w:val="001D5CE6"/>
    <w:rsid w:val="001E1DC9"/>
    <w:rsid w:val="001E22D1"/>
    <w:rsid w:val="001F0E74"/>
    <w:rsid w:val="001F729B"/>
    <w:rsid w:val="001F75DE"/>
    <w:rsid w:val="00204D91"/>
    <w:rsid w:val="0021287C"/>
    <w:rsid w:val="00212B32"/>
    <w:rsid w:val="002139BC"/>
    <w:rsid w:val="00215027"/>
    <w:rsid w:val="00217010"/>
    <w:rsid w:val="002320CA"/>
    <w:rsid w:val="00234310"/>
    <w:rsid w:val="00234BE5"/>
    <w:rsid w:val="002358E9"/>
    <w:rsid w:val="00257308"/>
    <w:rsid w:val="00257CD8"/>
    <w:rsid w:val="002610A1"/>
    <w:rsid w:val="00263C1D"/>
    <w:rsid w:val="002666A3"/>
    <w:rsid w:val="002735CF"/>
    <w:rsid w:val="00277955"/>
    <w:rsid w:val="00286849"/>
    <w:rsid w:val="00294A3E"/>
    <w:rsid w:val="00297867"/>
    <w:rsid w:val="002A24F9"/>
    <w:rsid w:val="002B19C7"/>
    <w:rsid w:val="002B1BA9"/>
    <w:rsid w:val="002C1DAD"/>
    <w:rsid w:val="002D1DEB"/>
    <w:rsid w:val="002D5F1D"/>
    <w:rsid w:val="002E108D"/>
    <w:rsid w:val="002E2F19"/>
    <w:rsid w:val="002E794C"/>
    <w:rsid w:val="002F1AC8"/>
    <w:rsid w:val="002F3A81"/>
    <w:rsid w:val="002F65AC"/>
    <w:rsid w:val="00301DC4"/>
    <w:rsid w:val="00303879"/>
    <w:rsid w:val="0030460D"/>
    <w:rsid w:val="003051BA"/>
    <w:rsid w:val="003065C1"/>
    <w:rsid w:val="00311390"/>
    <w:rsid w:val="0033165A"/>
    <w:rsid w:val="003353A5"/>
    <w:rsid w:val="0034058F"/>
    <w:rsid w:val="0034120D"/>
    <w:rsid w:val="003524F9"/>
    <w:rsid w:val="0035450B"/>
    <w:rsid w:val="003562B1"/>
    <w:rsid w:val="003619A1"/>
    <w:rsid w:val="00377A6A"/>
    <w:rsid w:val="003855A1"/>
    <w:rsid w:val="00385DF6"/>
    <w:rsid w:val="00386606"/>
    <w:rsid w:val="00386AD3"/>
    <w:rsid w:val="00393DC6"/>
    <w:rsid w:val="003946A1"/>
    <w:rsid w:val="003A25A5"/>
    <w:rsid w:val="003B29DB"/>
    <w:rsid w:val="003B4CBB"/>
    <w:rsid w:val="003B7862"/>
    <w:rsid w:val="003C0BEC"/>
    <w:rsid w:val="003D013F"/>
    <w:rsid w:val="003D0FA8"/>
    <w:rsid w:val="003D58CB"/>
    <w:rsid w:val="003F40BB"/>
    <w:rsid w:val="0040326B"/>
    <w:rsid w:val="004034E3"/>
    <w:rsid w:val="00407FCD"/>
    <w:rsid w:val="004115E4"/>
    <w:rsid w:val="00416C8A"/>
    <w:rsid w:val="00424E12"/>
    <w:rsid w:val="00425692"/>
    <w:rsid w:val="004273B6"/>
    <w:rsid w:val="00430983"/>
    <w:rsid w:val="00431EE9"/>
    <w:rsid w:val="0043350A"/>
    <w:rsid w:val="00433BE2"/>
    <w:rsid w:val="00434F56"/>
    <w:rsid w:val="004524AB"/>
    <w:rsid w:val="004570C1"/>
    <w:rsid w:val="00465FFA"/>
    <w:rsid w:val="00470100"/>
    <w:rsid w:val="00471CDA"/>
    <w:rsid w:val="00477F2B"/>
    <w:rsid w:val="00486757"/>
    <w:rsid w:val="00496DD0"/>
    <w:rsid w:val="004A1E26"/>
    <w:rsid w:val="004B06C0"/>
    <w:rsid w:val="004B1CC9"/>
    <w:rsid w:val="004B2A42"/>
    <w:rsid w:val="004C6302"/>
    <w:rsid w:val="004D2C4B"/>
    <w:rsid w:val="004D3556"/>
    <w:rsid w:val="004E245E"/>
    <w:rsid w:val="004E3F4D"/>
    <w:rsid w:val="004E6839"/>
    <w:rsid w:val="004F1C2E"/>
    <w:rsid w:val="004F2CCA"/>
    <w:rsid w:val="004F300A"/>
    <w:rsid w:val="004F38BD"/>
    <w:rsid w:val="004F7C8C"/>
    <w:rsid w:val="004F7D5F"/>
    <w:rsid w:val="0050044B"/>
    <w:rsid w:val="00501AAF"/>
    <w:rsid w:val="00502D7B"/>
    <w:rsid w:val="005043F8"/>
    <w:rsid w:val="0050623E"/>
    <w:rsid w:val="0052151B"/>
    <w:rsid w:val="00533D2A"/>
    <w:rsid w:val="005340E6"/>
    <w:rsid w:val="00541A2D"/>
    <w:rsid w:val="005446CD"/>
    <w:rsid w:val="00563D9E"/>
    <w:rsid w:val="00570105"/>
    <w:rsid w:val="00570C6D"/>
    <w:rsid w:val="00574C4D"/>
    <w:rsid w:val="00584DC3"/>
    <w:rsid w:val="005871EB"/>
    <w:rsid w:val="00592904"/>
    <w:rsid w:val="00597C76"/>
    <w:rsid w:val="005A5309"/>
    <w:rsid w:val="005B4430"/>
    <w:rsid w:val="005C522D"/>
    <w:rsid w:val="005C7638"/>
    <w:rsid w:val="005D18BC"/>
    <w:rsid w:val="005D1FD5"/>
    <w:rsid w:val="005D571F"/>
    <w:rsid w:val="005D6418"/>
    <w:rsid w:val="005E1EFE"/>
    <w:rsid w:val="005E61E2"/>
    <w:rsid w:val="005F4DD2"/>
    <w:rsid w:val="00606072"/>
    <w:rsid w:val="00615734"/>
    <w:rsid w:val="0061624C"/>
    <w:rsid w:val="006173E0"/>
    <w:rsid w:val="0062204C"/>
    <w:rsid w:val="0062249F"/>
    <w:rsid w:val="00630C81"/>
    <w:rsid w:val="006321A2"/>
    <w:rsid w:val="00636B1A"/>
    <w:rsid w:val="00643B76"/>
    <w:rsid w:val="006567CD"/>
    <w:rsid w:val="00661AC7"/>
    <w:rsid w:val="00661CD9"/>
    <w:rsid w:val="00662040"/>
    <w:rsid w:val="00662B72"/>
    <w:rsid w:val="0066334F"/>
    <w:rsid w:val="0066720E"/>
    <w:rsid w:val="00667864"/>
    <w:rsid w:val="00670EF7"/>
    <w:rsid w:val="00673EC4"/>
    <w:rsid w:val="0067790E"/>
    <w:rsid w:val="00680239"/>
    <w:rsid w:val="00685AB0"/>
    <w:rsid w:val="006A2049"/>
    <w:rsid w:val="006A4D5A"/>
    <w:rsid w:val="006A69F4"/>
    <w:rsid w:val="006B5996"/>
    <w:rsid w:val="006B619D"/>
    <w:rsid w:val="006C6F16"/>
    <w:rsid w:val="006D184C"/>
    <w:rsid w:val="006D6FDF"/>
    <w:rsid w:val="006E5C61"/>
    <w:rsid w:val="006E6FEB"/>
    <w:rsid w:val="006F3834"/>
    <w:rsid w:val="006F7F70"/>
    <w:rsid w:val="00704DB7"/>
    <w:rsid w:val="00706AC2"/>
    <w:rsid w:val="00713AFB"/>
    <w:rsid w:val="0075449B"/>
    <w:rsid w:val="00754D87"/>
    <w:rsid w:val="007621C6"/>
    <w:rsid w:val="007816C9"/>
    <w:rsid w:val="0079065E"/>
    <w:rsid w:val="00796CA0"/>
    <w:rsid w:val="007A07DD"/>
    <w:rsid w:val="007A14A5"/>
    <w:rsid w:val="007B5979"/>
    <w:rsid w:val="007B607C"/>
    <w:rsid w:val="007B74BB"/>
    <w:rsid w:val="007D283F"/>
    <w:rsid w:val="007D4CFA"/>
    <w:rsid w:val="007D644A"/>
    <w:rsid w:val="007E02F4"/>
    <w:rsid w:val="007E09CB"/>
    <w:rsid w:val="007E3882"/>
    <w:rsid w:val="007F1B34"/>
    <w:rsid w:val="007F514F"/>
    <w:rsid w:val="007F7FAD"/>
    <w:rsid w:val="008037DF"/>
    <w:rsid w:val="008042D3"/>
    <w:rsid w:val="008056DD"/>
    <w:rsid w:val="008110B0"/>
    <w:rsid w:val="008156C8"/>
    <w:rsid w:val="00825EFA"/>
    <w:rsid w:val="008348F5"/>
    <w:rsid w:val="0085176B"/>
    <w:rsid w:val="00855DA2"/>
    <w:rsid w:val="0086097C"/>
    <w:rsid w:val="00863149"/>
    <w:rsid w:val="00873E23"/>
    <w:rsid w:val="008772CD"/>
    <w:rsid w:val="00882297"/>
    <w:rsid w:val="00887045"/>
    <w:rsid w:val="00896566"/>
    <w:rsid w:val="008A0754"/>
    <w:rsid w:val="008A289F"/>
    <w:rsid w:val="008A52EC"/>
    <w:rsid w:val="008A7ED5"/>
    <w:rsid w:val="008B495B"/>
    <w:rsid w:val="008C128F"/>
    <w:rsid w:val="008D216A"/>
    <w:rsid w:val="008D2646"/>
    <w:rsid w:val="008D55A4"/>
    <w:rsid w:val="008F1040"/>
    <w:rsid w:val="008F26D8"/>
    <w:rsid w:val="008F6495"/>
    <w:rsid w:val="0091459E"/>
    <w:rsid w:val="00915401"/>
    <w:rsid w:val="00915C29"/>
    <w:rsid w:val="00916771"/>
    <w:rsid w:val="00916787"/>
    <w:rsid w:val="00922196"/>
    <w:rsid w:val="00922A9B"/>
    <w:rsid w:val="00923668"/>
    <w:rsid w:val="0093623B"/>
    <w:rsid w:val="00936B7E"/>
    <w:rsid w:val="009409A8"/>
    <w:rsid w:val="0094373D"/>
    <w:rsid w:val="00946C04"/>
    <w:rsid w:val="009515BE"/>
    <w:rsid w:val="00954F17"/>
    <w:rsid w:val="0095673B"/>
    <w:rsid w:val="009569B7"/>
    <w:rsid w:val="00956FD5"/>
    <w:rsid w:val="00963375"/>
    <w:rsid w:val="00964C95"/>
    <w:rsid w:val="00967F7D"/>
    <w:rsid w:val="00975E69"/>
    <w:rsid w:val="00977721"/>
    <w:rsid w:val="0098152B"/>
    <w:rsid w:val="00987F63"/>
    <w:rsid w:val="00994409"/>
    <w:rsid w:val="00994808"/>
    <w:rsid w:val="009A7A9F"/>
    <w:rsid w:val="009B2160"/>
    <w:rsid w:val="009B4B92"/>
    <w:rsid w:val="009B51D5"/>
    <w:rsid w:val="009B7343"/>
    <w:rsid w:val="009B73AB"/>
    <w:rsid w:val="009C4735"/>
    <w:rsid w:val="009C77AD"/>
    <w:rsid w:val="009D457B"/>
    <w:rsid w:val="009D4670"/>
    <w:rsid w:val="009E6234"/>
    <w:rsid w:val="009F1C8B"/>
    <w:rsid w:val="009F3191"/>
    <w:rsid w:val="009F3F8F"/>
    <w:rsid w:val="00A0071C"/>
    <w:rsid w:val="00A23C83"/>
    <w:rsid w:val="00A27483"/>
    <w:rsid w:val="00A3038E"/>
    <w:rsid w:val="00A32478"/>
    <w:rsid w:val="00A3478D"/>
    <w:rsid w:val="00A35C39"/>
    <w:rsid w:val="00A364C8"/>
    <w:rsid w:val="00A40201"/>
    <w:rsid w:val="00A42B37"/>
    <w:rsid w:val="00A51F36"/>
    <w:rsid w:val="00A56AD9"/>
    <w:rsid w:val="00A66402"/>
    <w:rsid w:val="00A74A34"/>
    <w:rsid w:val="00A760BC"/>
    <w:rsid w:val="00A764E0"/>
    <w:rsid w:val="00A776B9"/>
    <w:rsid w:val="00A82591"/>
    <w:rsid w:val="00A877E3"/>
    <w:rsid w:val="00A91B7B"/>
    <w:rsid w:val="00AA0E1E"/>
    <w:rsid w:val="00AB517F"/>
    <w:rsid w:val="00AC4C05"/>
    <w:rsid w:val="00AC5C76"/>
    <w:rsid w:val="00AD2BB9"/>
    <w:rsid w:val="00AE2B71"/>
    <w:rsid w:val="00AE4764"/>
    <w:rsid w:val="00AE7D84"/>
    <w:rsid w:val="00B03388"/>
    <w:rsid w:val="00B055D2"/>
    <w:rsid w:val="00B10180"/>
    <w:rsid w:val="00B11E6A"/>
    <w:rsid w:val="00B167E0"/>
    <w:rsid w:val="00B227B6"/>
    <w:rsid w:val="00B27117"/>
    <w:rsid w:val="00B33A1F"/>
    <w:rsid w:val="00B409D6"/>
    <w:rsid w:val="00B4680F"/>
    <w:rsid w:val="00B50EDE"/>
    <w:rsid w:val="00B53D78"/>
    <w:rsid w:val="00B5504D"/>
    <w:rsid w:val="00B56F8B"/>
    <w:rsid w:val="00B6132C"/>
    <w:rsid w:val="00B76C1E"/>
    <w:rsid w:val="00B85430"/>
    <w:rsid w:val="00B87E3E"/>
    <w:rsid w:val="00BB0EEE"/>
    <w:rsid w:val="00BB20D3"/>
    <w:rsid w:val="00BC545D"/>
    <w:rsid w:val="00BE3058"/>
    <w:rsid w:val="00BE58D7"/>
    <w:rsid w:val="00BF2AB0"/>
    <w:rsid w:val="00BF3BA5"/>
    <w:rsid w:val="00C013FE"/>
    <w:rsid w:val="00C02D3B"/>
    <w:rsid w:val="00C03476"/>
    <w:rsid w:val="00C1567C"/>
    <w:rsid w:val="00C2064C"/>
    <w:rsid w:val="00C3027C"/>
    <w:rsid w:val="00C32662"/>
    <w:rsid w:val="00C44576"/>
    <w:rsid w:val="00C45263"/>
    <w:rsid w:val="00C45686"/>
    <w:rsid w:val="00C52C0A"/>
    <w:rsid w:val="00C552D2"/>
    <w:rsid w:val="00C56464"/>
    <w:rsid w:val="00C64382"/>
    <w:rsid w:val="00C70194"/>
    <w:rsid w:val="00C76420"/>
    <w:rsid w:val="00C815D9"/>
    <w:rsid w:val="00C8204A"/>
    <w:rsid w:val="00C84AD2"/>
    <w:rsid w:val="00C93ABC"/>
    <w:rsid w:val="00CA7312"/>
    <w:rsid w:val="00CB3D5A"/>
    <w:rsid w:val="00CC0361"/>
    <w:rsid w:val="00CC13CB"/>
    <w:rsid w:val="00CC200E"/>
    <w:rsid w:val="00CC495A"/>
    <w:rsid w:val="00CD173B"/>
    <w:rsid w:val="00CD7A43"/>
    <w:rsid w:val="00CE26CF"/>
    <w:rsid w:val="00CF1C5B"/>
    <w:rsid w:val="00CF4EC3"/>
    <w:rsid w:val="00CF7D58"/>
    <w:rsid w:val="00D0481E"/>
    <w:rsid w:val="00D100AF"/>
    <w:rsid w:val="00D10FE5"/>
    <w:rsid w:val="00D13274"/>
    <w:rsid w:val="00D1516C"/>
    <w:rsid w:val="00D1571B"/>
    <w:rsid w:val="00D17333"/>
    <w:rsid w:val="00D23536"/>
    <w:rsid w:val="00D26FC9"/>
    <w:rsid w:val="00D302FF"/>
    <w:rsid w:val="00D33A1F"/>
    <w:rsid w:val="00D36940"/>
    <w:rsid w:val="00D426D2"/>
    <w:rsid w:val="00D43635"/>
    <w:rsid w:val="00D46AA2"/>
    <w:rsid w:val="00D656E0"/>
    <w:rsid w:val="00D731F7"/>
    <w:rsid w:val="00D77F3B"/>
    <w:rsid w:val="00D80C06"/>
    <w:rsid w:val="00D961DA"/>
    <w:rsid w:val="00DA360B"/>
    <w:rsid w:val="00DB0004"/>
    <w:rsid w:val="00DB587B"/>
    <w:rsid w:val="00DD4C2A"/>
    <w:rsid w:val="00DE18BB"/>
    <w:rsid w:val="00DE1C6A"/>
    <w:rsid w:val="00DE1E76"/>
    <w:rsid w:val="00DE2FFD"/>
    <w:rsid w:val="00DE5062"/>
    <w:rsid w:val="00DE5762"/>
    <w:rsid w:val="00DE753C"/>
    <w:rsid w:val="00DF2504"/>
    <w:rsid w:val="00DF6F68"/>
    <w:rsid w:val="00DF79BD"/>
    <w:rsid w:val="00E03568"/>
    <w:rsid w:val="00E03850"/>
    <w:rsid w:val="00E21033"/>
    <w:rsid w:val="00E33247"/>
    <w:rsid w:val="00E3470B"/>
    <w:rsid w:val="00E44EAE"/>
    <w:rsid w:val="00E50D84"/>
    <w:rsid w:val="00E52687"/>
    <w:rsid w:val="00E60A93"/>
    <w:rsid w:val="00E616E3"/>
    <w:rsid w:val="00E61C3D"/>
    <w:rsid w:val="00E6369F"/>
    <w:rsid w:val="00E63A17"/>
    <w:rsid w:val="00E66685"/>
    <w:rsid w:val="00E668B8"/>
    <w:rsid w:val="00E66E78"/>
    <w:rsid w:val="00E737AB"/>
    <w:rsid w:val="00E8195B"/>
    <w:rsid w:val="00E924C7"/>
    <w:rsid w:val="00E94B0D"/>
    <w:rsid w:val="00EA4921"/>
    <w:rsid w:val="00EB003E"/>
    <w:rsid w:val="00EB0181"/>
    <w:rsid w:val="00EB022B"/>
    <w:rsid w:val="00EB0707"/>
    <w:rsid w:val="00EB5BDC"/>
    <w:rsid w:val="00EB719A"/>
    <w:rsid w:val="00EC13CA"/>
    <w:rsid w:val="00EC7B19"/>
    <w:rsid w:val="00EE3566"/>
    <w:rsid w:val="00EE3614"/>
    <w:rsid w:val="00EE42A3"/>
    <w:rsid w:val="00EF0EBE"/>
    <w:rsid w:val="00EF1285"/>
    <w:rsid w:val="00EF2D63"/>
    <w:rsid w:val="00EF4CAB"/>
    <w:rsid w:val="00F0473D"/>
    <w:rsid w:val="00F119B5"/>
    <w:rsid w:val="00F13B09"/>
    <w:rsid w:val="00F23087"/>
    <w:rsid w:val="00F27054"/>
    <w:rsid w:val="00F323E7"/>
    <w:rsid w:val="00F32DD7"/>
    <w:rsid w:val="00F37355"/>
    <w:rsid w:val="00F42080"/>
    <w:rsid w:val="00F441E2"/>
    <w:rsid w:val="00F45638"/>
    <w:rsid w:val="00F533AE"/>
    <w:rsid w:val="00F57398"/>
    <w:rsid w:val="00F730ED"/>
    <w:rsid w:val="00F74009"/>
    <w:rsid w:val="00F74034"/>
    <w:rsid w:val="00F8110C"/>
    <w:rsid w:val="00F82378"/>
    <w:rsid w:val="00F86AC4"/>
    <w:rsid w:val="00F97453"/>
    <w:rsid w:val="00FA42F2"/>
    <w:rsid w:val="00FA5790"/>
    <w:rsid w:val="00FB61AA"/>
    <w:rsid w:val="00FB7929"/>
    <w:rsid w:val="00FC1B76"/>
    <w:rsid w:val="00FC27AB"/>
    <w:rsid w:val="00FC52E7"/>
    <w:rsid w:val="00FC6B62"/>
    <w:rsid w:val="00FD0480"/>
    <w:rsid w:val="00FD242F"/>
    <w:rsid w:val="00FD4F5E"/>
    <w:rsid w:val="00FD5BAD"/>
    <w:rsid w:val="00FD5BF2"/>
    <w:rsid w:val="00FE0657"/>
    <w:rsid w:val="00FE1488"/>
    <w:rsid w:val="00FE2C46"/>
    <w:rsid w:val="00FE6EE2"/>
    <w:rsid w:val="00FE75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rules v:ext="edit">
        <o:r id="V:Rule6"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A6A"/>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8CB"/>
    <w:pPr>
      <w:ind w:left="720"/>
      <w:contextualSpacing/>
    </w:pPr>
  </w:style>
  <w:style w:type="paragraph" w:styleId="NormalWeb">
    <w:name w:val="Normal (Web)"/>
    <w:basedOn w:val="Normal"/>
    <w:uiPriority w:val="99"/>
    <w:unhideWhenUsed/>
    <w:rsid w:val="00563D9E"/>
    <w:pPr>
      <w:spacing w:before="100" w:beforeAutospacing="1" w:after="100" w:afterAutospacing="1"/>
    </w:pPr>
    <w:rPr>
      <w:sz w:val="24"/>
      <w:szCs w:val="24"/>
    </w:rPr>
  </w:style>
  <w:style w:type="character" w:styleId="Hyperlink">
    <w:name w:val="Hyperlink"/>
    <w:basedOn w:val="DefaultParagraphFont"/>
    <w:uiPriority w:val="99"/>
    <w:semiHidden/>
    <w:unhideWhenUsed/>
    <w:rsid w:val="00563D9E"/>
    <w:rPr>
      <w:color w:val="0000FF"/>
      <w:u w:val="single"/>
    </w:rPr>
  </w:style>
  <w:style w:type="paragraph" w:styleId="Header">
    <w:name w:val="header"/>
    <w:basedOn w:val="Normal"/>
    <w:link w:val="HeaderChar"/>
    <w:uiPriority w:val="99"/>
    <w:unhideWhenUsed/>
    <w:rsid w:val="001072D9"/>
    <w:pPr>
      <w:tabs>
        <w:tab w:val="center" w:pos="4680"/>
        <w:tab w:val="right" w:pos="9360"/>
      </w:tabs>
    </w:pPr>
  </w:style>
  <w:style w:type="character" w:customStyle="1" w:styleId="HeaderChar">
    <w:name w:val="Header Char"/>
    <w:basedOn w:val="DefaultParagraphFont"/>
    <w:link w:val="Header"/>
    <w:uiPriority w:val="99"/>
    <w:rsid w:val="001072D9"/>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1072D9"/>
    <w:pPr>
      <w:tabs>
        <w:tab w:val="center" w:pos="4680"/>
        <w:tab w:val="right" w:pos="9360"/>
      </w:tabs>
    </w:pPr>
  </w:style>
  <w:style w:type="character" w:customStyle="1" w:styleId="FooterChar">
    <w:name w:val="Footer Char"/>
    <w:basedOn w:val="DefaultParagraphFont"/>
    <w:link w:val="Footer"/>
    <w:uiPriority w:val="99"/>
    <w:rsid w:val="001072D9"/>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1072D9"/>
    <w:rPr>
      <w:rFonts w:ascii="Tahoma" w:hAnsi="Tahoma" w:cs="Tahoma"/>
      <w:sz w:val="16"/>
      <w:szCs w:val="16"/>
    </w:rPr>
  </w:style>
  <w:style w:type="character" w:customStyle="1" w:styleId="BalloonTextChar">
    <w:name w:val="Balloon Text Char"/>
    <w:basedOn w:val="DefaultParagraphFont"/>
    <w:link w:val="BalloonText"/>
    <w:uiPriority w:val="99"/>
    <w:semiHidden/>
    <w:rsid w:val="001072D9"/>
    <w:rPr>
      <w:rFonts w:ascii="Tahoma" w:eastAsia="Times New Roman" w:hAnsi="Tahoma" w:cs="Tahoma"/>
      <w:sz w:val="16"/>
      <w:szCs w:val="16"/>
    </w:rPr>
  </w:style>
  <w:style w:type="table" w:styleId="TableGrid">
    <w:name w:val="Table Grid"/>
    <w:basedOn w:val="TableNormal"/>
    <w:uiPriority w:val="59"/>
    <w:rsid w:val="005D57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1"/>
    <w:rsid w:val="00170384"/>
    <w:rPr>
      <w:sz w:val="25"/>
      <w:szCs w:val="25"/>
      <w:shd w:val="clear" w:color="auto" w:fill="FFFFFF"/>
    </w:rPr>
  </w:style>
  <w:style w:type="paragraph" w:customStyle="1" w:styleId="BodyText1">
    <w:name w:val="Body Text1"/>
    <w:basedOn w:val="Normal"/>
    <w:link w:val="Bodytext"/>
    <w:rsid w:val="00170384"/>
    <w:pPr>
      <w:widowControl w:val="0"/>
      <w:shd w:val="clear" w:color="auto" w:fill="FFFFFF"/>
      <w:spacing w:after="480" w:line="0" w:lineRule="atLeast"/>
    </w:pPr>
    <w:rPr>
      <w:rFonts w:asciiTheme="minorHAnsi" w:eastAsiaTheme="minorHAnsi" w:hAnsiTheme="minorHAnsi" w:cstheme="minorBidi"/>
      <w:sz w:val="25"/>
      <w:szCs w:val="25"/>
    </w:rPr>
  </w:style>
</w:styles>
</file>

<file path=word/webSettings.xml><?xml version="1.0" encoding="utf-8"?>
<w:webSettings xmlns:r="http://schemas.openxmlformats.org/officeDocument/2006/relationships" xmlns:w="http://schemas.openxmlformats.org/wordprocessingml/2006/main">
  <w:divs>
    <w:div w:id="147587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424C9-08EC-47B2-A51F-AD26681F5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7095</TotalTime>
  <Pages>10</Pages>
  <Words>3251</Words>
  <Characters>18535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12</cp:revision>
  <cp:lastPrinted>2025-11-06T04:47:00Z</cp:lastPrinted>
  <dcterms:created xsi:type="dcterms:W3CDTF">2020-03-30T01:56:00Z</dcterms:created>
  <dcterms:modified xsi:type="dcterms:W3CDTF">2025-11-12T05:33:00Z</dcterms:modified>
</cp:coreProperties>
</file>